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1B72E" w14:textId="742B6166" w:rsidR="611F1BAA" w:rsidRPr="00C03A91" w:rsidRDefault="611F1BAA" w:rsidP="7A5BE200">
      <w:pPr>
        <w:spacing w:after="0"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</w:pPr>
      <w:r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 </w:t>
      </w:r>
      <w:r w:rsidR="2EDB1F48"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Reimbursable </w:t>
      </w:r>
      <w:r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Health Safety Net </w:t>
      </w:r>
      <w:r w:rsidR="070CEA99"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Pharmacy </w:t>
      </w:r>
      <w:r w:rsidR="2BB0C67E"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Services </w:t>
      </w:r>
      <w:r w:rsidR="283EF249"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- </w:t>
      </w:r>
      <w:r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Effective </w:t>
      </w:r>
      <w:r w:rsidR="009A1053"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 xml:space="preserve">January 12, </w:t>
      </w:r>
      <w:r w:rsidRPr="00C03A91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>2026</w:t>
      </w:r>
      <w:r w:rsidRPr="00C03A91">
        <w:rPr>
          <w:rFonts w:ascii="Arial" w:hAnsi="Arial" w:cs="Arial"/>
          <w:sz w:val="32"/>
          <w:szCs w:val="32"/>
        </w:rPr>
        <w:tab/>
      </w:r>
    </w:p>
    <w:p w14:paraId="17F6FA24" w14:textId="2B79B753" w:rsidR="611F1BAA" w:rsidRPr="00C03A91" w:rsidRDefault="611F1BAA" w:rsidP="7A5BE200">
      <w:pPr>
        <w:spacing w:after="0" w:line="276" w:lineRule="auto"/>
        <w:rPr>
          <w:rFonts w:ascii="Arial" w:hAnsi="Arial" w:cs="Arial"/>
        </w:rPr>
      </w:pPr>
      <w:r w:rsidRPr="00C03A91">
        <w:rPr>
          <w:rFonts w:ascii="Arial" w:eastAsia="Times New Roman" w:hAnsi="Arial" w:cs="Arial"/>
          <w:color w:val="000000" w:themeColor="text1"/>
        </w:rPr>
        <w:t xml:space="preserve"> </w:t>
      </w:r>
    </w:p>
    <w:p w14:paraId="18B71DAD" w14:textId="193F8090" w:rsidR="611F1BAA" w:rsidRPr="00C03A91" w:rsidRDefault="611F1BAA" w:rsidP="7A5BE200">
      <w:pPr>
        <w:spacing w:after="0" w:line="276" w:lineRule="auto"/>
        <w:rPr>
          <w:rFonts w:ascii="Arial" w:hAnsi="Arial" w:cs="Arial"/>
        </w:rPr>
      </w:pPr>
      <w:r w:rsidRPr="00C03A91">
        <w:rPr>
          <w:rFonts w:ascii="Arial" w:eastAsia="Times New Roman" w:hAnsi="Arial" w:cs="Arial"/>
          <w:color w:val="000000" w:themeColor="text1"/>
        </w:rPr>
        <w:t>The Health Safety Net (HSN) is changing the management of the</w:t>
      </w:r>
      <w:r w:rsidR="0CCE2E78" w:rsidRPr="00C03A91">
        <w:rPr>
          <w:rFonts w:ascii="Arial" w:eastAsia="Times New Roman" w:hAnsi="Arial" w:cs="Arial"/>
          <w:color w:val="000000" w:themeColor="text1"/>
        </w:rPr>
        <w:t xml:space="preserve"> </w:t>
      </w:r>
      <w:r w:rsidRPr="00C03A91">
        <w:rPr>
          <w:rFonts w:ascii="Arial" w:eastAsia="Times New Roman" w:hAnsi="Arial" w:cs="Arial"/>
          <w:color w:val="000000" w:themeColor="text1"/>
        </w:rPr>
        <w:t xml:space="preserve">HSN formulary, effective January 12, 2026. Historically, </w:t>
      </w:r>
      <w:r w:rsidR="172F3BB8" w:rsidRPr="00C03A91">
        <w:rPr>
          <w:rFonts w:ascii="Arial" w:eastAsia="Times New Roman" w:hAnsi="Arial" w:cs="Arial"/>
          <w:color w:val="000000" w:themeColor="text1"/>
        </w:rPr>
        <w:t>reimbursable</w:t>
      </w:r>
      <w:r w:rsidR="516899CE" w:rsidRPr="00C03A91">
        <w:rPr>
          <w:rFonts w:ascii="Arial" w:eastAsia="Times New Roman" w:hAnsi="Arial" w:cs="Arial"/>
          <w:color w:val="000000" w:themeColor="text1"/>
        </w:rPr>
        <w:t xml:space="preserve"> HSN </w:t>
      </w:r>
      <w:r w:rsidRPr="00C03A91">
        <w:rPr>
          <w:rFonts w:ascii="Arial" w:eastAsia="Times New Roman" w:hAnsi="Arial" w:cs="Arial"/>
          <w:color w:val="000000" w:themeColor="text1"/>
        </w:rPr>
        <w:t xml:space="preserve">pharmacy </w:t>
      </w:r>
      <w:r w:rsidR="3291845B" w:rsidRPr="00C03A91">
        <w:rPr>
          <w:rFonts w:ascii="Arial" w:eastAsia="Times New Roman" w:hAnsi="Arial" w:cs="Arial"/>
          <w:color w:val="000000" w:themeColor="text1"/>
        </w:rPr>
        <w:t xml:space="preserve">services </w:t>
      </w:r>
      <w:r w:rsidRPr="00C03A91">
        <w:rPr>
          <w:rFonts w:ascii="Arial" w:eastAsia="Times New Roman" w:hAnsi="Arial" w:cs="Arial"/>
          <w:color w:val="000000" w:themeColor="text1"/>
        </w:rPr>
        <w:t>ha</w:t>
      </w:r>
      <w:r w:rsidR="4B8D0882" w:rsidRPr="00C03A91">
        <w:rPr>
          <w:rFonts w:ascii="Arial" w:eastAsia="Times New Roman" w:hAnsi="Arial" w:cs="Arial"/>
          <w:color w:val="000000" w:themeColor="text1"/>
        </w:rPr>
        <w:t>ve</w:t>
      </w:r>
      <w:r w:rsidRPr="00C03A91">
        <w:rPr>
          <w:rFonts w:ascii="Arial" w:eastAsia="Times New Roman" w:hAnsi="Arial" w:cs="Arial"/>
          <w:color w:val="000000" w:themeColor="text1"/>
        </w:rPr>
        <w:t xml:space="preserve"> largely matched the MassHealth formulary as listed on the </w:t>
      </w:r>
      <w:hyperlink r:id="rId10">
        <w:r w:rsidRPr="00C03A91">
          <w:rPr>
            <w:rStyle w:val="Hyperlink"/>
            <w:rFonts w:ascii="Arial" w:eastAsia="Times New Roman" w:hAnsi="Arial" w:cs="Arial"/>
          </w:rPr>
          <w:t>MassHealth Drug List (MHDL).</w:t>
        </w:r>
      </w:hyperlink>
      <w:r w:rsidRPr="00C03A91">
        <w:rPr>
          <w:rFonts w:ascii="Arial" w:eastAsia="Times New Roman" w:hAnsi="Arial" w:cs="Arial"/>
          <w:color w:val="000000" w:themeColor="text1"/>
        </w:rPr>
        <w:t xml:space="preserve"> </w:t>
      </w:r>
    </w:p>
    <w:p w14:paraId="446C6971" w14:textId="39917F85" w:rsidR="0CA5D140" w:rsidRPr="00C03A91" w:rsidRDefault="0CA5D140" w:rsidP="2BFC06F6">
      <w:pPr>
        <w:spacing w:after="0" w:line="276" w:lineRule="auto"/>
        <w:ind w:left="720"/>
        <w:rPr>
          <w:rFonts w:ascii="Arial" w:eastAsia="Times New Roman" w:hAnsi="Arial" w:cs="Arial"/>
          <w:color w:val="000000" w:themeColor="text1"/>
        </w:rPr>
      </w:pPr>
    </w:p>
    <w:p w14:paraId="70BA9D0E" w14:textId="27E7B827" w:rsidR="0CA5D140" w:rsidRPr="00C03A91" w:rsidRDefault="7CA94E06" w:rsidP="2BFC06F6">
      <w:pPr>
        <w:spacing w:after="0" w:line="276" w:lineRule="auto"/>
        <w:rPr>
          <w:rFonts w:ascii="Arial" w:eastAsia="Georgia" w:hAnsi="Arial" w:cs="Arial"/>
          <w:color w:val="000000" w:themeColor="text1"/>
        </w:rPr>
      </w:pPr>
      <w:r w:rsidRPr="00C03A91">
        <w:rPr>
          <w:rFonts w:ascii="Arial" w:eastAsia="Georgia" w:hAnsi="Arial" w:cs="Arial"/>
          <w:b/>
          <w:bCs/>
          <w:color w:val="000000" w:themeColor="text1"/>
        </w:rPr>
        <w:t xml:space="preserve">The following key changes are effective January 12, 2026: 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80"/>
        <w:gridCol w:w="3765"/>
      </w:tblGrid>
      <w:tr w:rsidR="2BFC06F6" w:rsidRPr="00C03A91" w14:paraId="4FF818AB" w14:textId="77777777" w:rsidTr="4E2175EE">
        <w:trPr>
          <w:trHeight w:val="300"/>
        </w:trPr>
        <w:tc>
          <w:tcPr>
            <w:tcW w:w="55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4B6D9570" w14:textId="792962FD" w:rsidR="2BFC06F6" w:rsidRPr="00C03A91" w:rsidRDefault="2BFC06F6" w:rsidP="2BFC06F6">
            <w:pPr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Generally reimbursable </w:t>
            </w:r>
            <w:r w:rsidRPr="00C03A91">
              <w:rPr>
                <w:rFonts w:ascii="Arial" w:eastAsia="Georgia" w:hAnsi="Arial" w:cs="Arial"/>
                <w:b/>
                <w:bCs/>
              </w:rPr>
              <w:t>without prior authorization (PA):</w:t>
            </w:r>
          </w:p>
        </w:tc>
        <w:tc>
          <w:tcPr>
            <w:tcW w:w="37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17817A27" w14:textId="68251FC0" w:rsidR="2BFC06F6" w:rsidRPr="00C03A91" w:rsidRDefault="2BFC06F6" w:rsidP="2BFC06F6">
            <w:pPr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Generally reimbursable </w:t>
            </w:r>
            <w:r w:rsidRPr="00C03A91">
              <w:rPr>
                <w:rFonts w:ascii="Arial" w:eastAsia="Georgia" w:hAnsi="Arial" w:cs="Arial"/>
                <w:b/>
                <w:bCs/>
              </w:rPr>
              <w:t>with PA:</w:t>
            </w:r>
          </w:p>
        </w:tc>
      </w:tr>
      <w:tr w:rsidR="2BFC06F6" w:rsidRPr="00C03A91" w14:paraId="6BCD3A07" w14:textId="77777777" w:rsidTr="4E2175EE">
        <w:trPr>
          <w:trHeight w:val="1770"/>
        </w:trPr>
        <w:tc>
          <w:tcPr>
            <w:tcW w:w="55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5B992D3" w14:textId="76B0F390" w:rsidR="2BFC06F6" w:rsidRPr="00C03A91" w:rsidRDefault="2BFC06F6" w:rsidP="2BFC06F6">
            <w:pPr>
              <w:pStyle w:val="ListParagraph"/>
              <w:numPr>
                <w:ilvl w:val="0"/>
                <w:numId w:val="1"/>
              </w:numPr>
              <w:ind w:left="330" w:hanging="330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Generic medications (including unbranded biosimilars) </w:t>
            </w:r>
          </w:p>
          <w:p w14:paraId="12965D47" w14:textId="77777777" w:rsidR="00563A7A" w:rsidRPr="00C03A91" w:rsidRDefault="2BFC06F6" w:rsidP="4E2175EE">
            <w:pPr>
              <w:pStyle w:val="ListParagraph"/>
              <w:numPr>
                <w:ilvl w:val="0"/>
                <w:numId w:val="1"/>
              </w:numPr>
              <w:ind w:left="330" w:hanging="330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Select brand medications </w:t>
            </w:r>
            <w:r w:rsidR="00563A7A" w:rsidRPr="00C03A91">
              <w:rPr>
                <w:rFonts w:ascii="Arial" w:eastAsia="Georgia" w:hAnsi="Arial" w:cs="Arial"/>
              </w:rPr>
              <w:t>including:</w:t>
            </w:r>
          </w:p>
          <w:p w14:paraId="3F5906FC" w14:textId="6668647F" w:rsidR="2BFC06F6" w:rsidRPr="00C03A91" w:rsidRDefault="00563A7A" w:rsidP="00563A7A">
            <w:pPr>
              <w:pStyle w:val="ListParagraph"/>
              <w:numPr>
                <w:ilvl w:val="1"/>
                <w:numId w:val="1"/>
              </w:numPr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Most drugs </w:t>
            </w:r>
            <w:r w:rsidR="2BFC06F6" w:rsidRPr="00C03A91">
              <w:rPr>
                <w:rFonts w:ascii="Arial" w:eastAsia="Georgia" w:hAnsi="Arial" w:cs="Arial"/>
              </w:rPr>
              <w:t xml:space="preserve">on the MassHealth </w:t>
            </w:r>
            <w:r w:rsidR="06168451" w:rsidRPr="00C03A91">
              <w:rPr>
                <w:rFonts w:ascii="Arial" w:eastAsia="Georgia" w:hAnsi="Arial" w:cs="Arial"/>
              </w:rPr>
              <w:t>B</w:t>
            </w:r>
            <w:r w:rsidR="1D0A960E" w:rsidRPr="00C03A91">
              <w:rPr>
                <w:rFonts w:ascii="Arial" w:eastAsia="Georgia" w:hAnsi="Arial" w:cs="Arial"/>
              </w:rPr>
              <w:t>rand</w:t>
            </w:r>
            <w:r w:rsidR="75E81E9E" w:rsidRPr="00C03A91">
              <w:rPr>
                <w:rFonts w:ascii="Arial" w:eastAsia="Georgia" w:hAnsi="Arial" w:cs="Arial"/>
              </w:rPr>
              <w:t xml:space="preserve"> Pref</w:t>
            </w:r>
            <w:r w:rsidR="6F1413EA" w:rsidRPr="00C03A91">
              <w:rPr>
                <w:rFonts w:ascii="Arial" w:eastAsia="Georgia" w:hAnsi="Arial" w:cs="Arial"/>
              </w:rPr>
              <w:t>er</w:t>
            </w:r>
            <w:r w:rsidR="75E81E9E" w:rsidRPr="00C03A91">
              <w:rPr>
                <w:rFonts w:ascii="Arial" w:eastAsia="Georgia" w:hAnsi="Arial" w:cs="Arial"/>
              </w:rPr>
              <w:t xml:space="preserve">red </w:t>
            </w:r>
            <w:r w:rsidR="3E8D9E6E" w:rsidRPr="00C03A91">
              <w:rPr>
                <w:rFonts w:ascii="Arial" w:eastAsia="Georgia" w:hAnsi="Arial" w:cs="Arial"/>
              </w:rPr>
              <w:t>O</w:t>
            </w:r>
            <w:r w:rsidR="1D0A960E" w:rsidRPr="00C03A91">
              <w:rPr>
                <w:rFonts w:ascii="Arial" w:eastAsia="Georgia" w:hAnsi="Arial" w:cs="Arial"/>
              </w:rPr>
              <w:t xml:space="preserve">ver </w:t>
            </w:r>
            <w:r w:rsidR="19378B5C" w:rsidRPr="00C03A91">
              <w:rPr>
                <w:rFonts w:ascii="Arial" w:eastAsia="Georgia" w:hAnsi="Arial" w:cs="Arial"/>
              </w:rPr>
              <w:t>G</w:t>
            </w:r>
            <w:r w:rsidR="2BFC06F6" w:rsidRPr="00C03A91">
              <w:rPr>
                <w:rFonts w:ascii="Arial" w:eastAsia="Georgia" w:hAnsi="Arial" w:cs="Arial"/>
              </w:rPr>
              <w:t>eneric list (BOGL)</w:t>
            </w:r>
            <w:r w:rsidR="00255C69" w:rsidRPr="00C03A91">
              <w:rPr>
                <w:rFonts w:ascii="Arial" w:eastAsia="Georgia" w:hAnsi="Arial" w:cs="Arial"/>
              </w:rPr>
              <w:t>*</w:t>
            </w:r>
          </w:p>
          <w:p w14:paraId="3E2A51F1" w14:textId="62EEEF54" w:rsidR="00E939D2" w:rsidRPr="00C03A91" w:rsidRDefault="00696378" w:rsidP="00E939D2">
            <w:pPr>
              <w:pStyle w:val="ListParagraph"/>
              <w:numPr>
                <w:ilvl w:val="1"/>
                <w:numId w:val="1"/>
              </w:numPr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>Brand antire</w:t>
            </w:r>
            <w:r w:rsidR="00E263DF" w:rsidRPr="00C03A91">
              <w:rPr>
                <w:rFonts w:ascii="Arial" w:eastAsia="Georgia" w:hAnsi="Arial" w:cs="Arial"/>
              </w:rPr>
              <w:t>trovirals with no generic equivalent</w:t>
            </w:r>
          </w:p>
          <w:p w14:paraId="5C104E38" w14:textId="70D000F9" w:rsidR="2BFC06F6" w:rsidRPr="00C03A91" w:rsidRDefault="2BFC06F6" w:rsidP="2BFC06F6">
            <w:pPr>
              <w:pStyle w:val="ListParagraph"/>
              <w:numPr>
                <w:ilvl w:val="0"/>
                <w:numId w:val="1"/>
              </w:numPr>
              <w:ind w:left="330" w:hanging="330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Select non-drug products (i.e., alcohol swabs, ketone test strips, lancets, pen needles, syringes, urine glucose test strips) </w:t>
            </w:r>
          </w:p>
          <w:p w14:paraId="4F049E9C" w14:textId="5225F7F3" w:rsidR="2BFC06F6" w:rsidRPr="00C03A91" w:rsidRDefault="2BFC06F6" w:rsidP="2BFC06F6">
            <w:pPr>
              <w:pStyle w:val="ListParagraph"/>
              <w:numPr>
                <w:ilvl w:val="0"/>
                <w:numId w:val="1"/>
              </w:numPr>
              <w:ind w:left="330" w:hanging="330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Preferred test strips within quantity limits </w:t>
            </w:r>
          </w:p>
          <w:p w14:paraId="4A913254" w14:textId="247A2976" w:rsidR="00004A64" w:rsidRPr="00C03A91" w:rsidRDefault="2BFC06F6" w:rsidP="00F419B7">
            <w:pPr>
              <w:pStyle w:val="ListParagraph"/>
              <w:numPr>
                <w:ilvl w:val="0"/>
                <w:numId w:val="1"/>
              </w:numPr>
              <w:ind w:left="330" w:hanging="330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>Vaccines</w:t>
            </w:r>
          </w:p>
        </w:tc>
        <w:tc>
          <w:tcPr>
            <w:tcW w:w="37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84A3F4B" w14:textId="6D33CA94" w:rsidR="2BFC06F6" w:rsidRPr="00C03A91" w:rsidRDefault="2BFC06F6" w:rsidP="2BFC06F6">
            <w:pPr>
              <w:pStyle w:val="ListParagraph"/>
              <w:numPr>
                <w:ilvl w:val="0"/>
                <w:numId w:val="1"/>
              </w:numPr>
              <w:ind w:left="348" w:hanging="348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 xml:space="preserve">Preferred non-drug products (e.g., continuous glucose monitors, continuous subcutaneous insulin infusion devices) </w:t>
            </w:r>
          </w:p>
          <w:p w14:paraId="17C3FE2D" w14:textId="6004770F" w:rsidR="2BFC06F6" w:rsidRPr="00C03A91" w:rsidRDefault="2BFC06F6" w:rsidP="2BFC06F6">
            <w:pPr>
              <w:pStyle w:val="ListParagraph"/>
              <w:numPr>
                <w:ilvl w:val="0"/>
                <w:numId w:val="1"/>
              </w:numPr>
              <w:ind w:left="348" w:hanging="348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>Brand medications not listed on the MassHealth BOGL</w:t>
            </w:r>
          </w:p>
          <w:p w14:paraId="57DD5D78" w14:textId="0D46BC81" w:rsidR="2BFC06F6" w:rsidRPr="00C03A91" w:rsidRDefault="2BFC06F6" w:rsidP="2BFC06F6">
            <w:pPr>
              <w:pStyle w:val="ListParagraph"/>
              <w:numPr>
                <w:ilvl w:val="0"/>
                <w:numId w:val="1"/>
              </w:numPr>
              <w:ind w:left="348" w:hanging="348"/>
              <w:rPr>
                <w:rFonts w:ascii="Arial" w:eastAsia="Georgia" w:hAnsi="Arial" w:cs="Arial"/>
              </w:rPr>
            </w:pPr>
            <w:r w:rsidRPr="00C03A91">
              <w:rPr>
                <w:rFonts w:ascii="Arial" w:eastAsia="Georgia" w:hAnsi="Arial" w:cs="Arial"/>
              </w:rPr>
              <w:t>Other medications when clinically necessary</w:t>
            </w:r>
          </w:p>
        </w:tc>
      </w:tr>
    </w:tbl>
    <w:p w14:paraId="063FC3BA" w14:textId="42162435" w:rsidR="0CA5D140" w:rsidRPr="00C03A91" w:rsidRDefault="00255C69" w:rsidP="00255C69">
      <w:pPr>
        <w:spacing w:after="0" w:line="240" w:lineRule="auto"/>
        <w:rPr>
          <w:rFonts w:ascii="Arial" w:eastAsia="Times New Roman" w:hAnsi="Arial" w:cs="Arial"/>
          <w:color w:val="000000" w:themeColor="text1"/>
        </w:rPr>
      </w:pPr>
      <w:r w:rsidRPr="00C03A91">
        <w:rPr>
          <w:rFonts w:ascii="Arial" w:eastAsia="Times New Roman" w:hAnsi="Arial" w:cs="Arial"/>
          <w:color w:val="000000" w:themeColor="text1"/>
        </w:rPr>
        <w:t xml:space="preserve">*Exceptions </w:t>
      </w:r>
      <w:r w:rsidR="00FA215A" w:rsidRPr="00C03A91">
        <w:rPr>
          <w:rFonts w:ascii="Arial" w:eastAsia="Times New Roman" w:hAnsi="Arial" w:cs="Arial"/>
          <w:color w:val="000000" w:themeColor="text1"/>
        </w:rPr>
        <w:t xml:space="preserve">apply: </w:t>
      </w:r>
      <w:r w:rsidRPr="00C03A91">
        <w:rPr>
          <w:rFonts w:ascii="Arial" w:eastAsia="Times New Roman" w:hAnsi="Arial" w:cs="Arial"/>
          <w:color w:val="000000" w:themeColor="text1"/>
        </w:rPr>
        <w:t>brand Suboxone (buprenorphine/naloxone)</w:t>
      </w:r>
      <w:r w:rsidR="000044D6" w:rsidRPr="00C03A91">
        <w:rPr>
          <w:rFonts w:ascii="Arial" w:eastAsia="Times New Roman" w:hAnsi="Arial" w:cs="Arial"/>
          <w:color w:val="000000" w:themeColor="text1"/>
        </w:rPr>
        <w:t xml:space="preserve"> films require PA for HSN patients, while generic buprenorphine/naloxone tablets and films are available without PA</w:t>
      </w:r>
      <w:r w:rsidR="006B334F" w:rsidRPr="00C03A91">
        <w:rPr>
          <w:rFonts w:ascii="Arial" w:eastAsia="Times New Roman" w:hAnsi="Arial" w:cs="Arial"/>
          <w:color w:val="000000" w:themeColor="text1"/>
        </w:rPr>
        <w:t xml:space="preserve"> within</w:t>
      </w:r>
      <w:r w:rsidR="00861080" w:rsidRPr="00C03A91">
        <w:rPr>
          <w:rFonts w:ascii="Arial" w:eastAsia="Times New Roman" w:hAnsi="Arial" w:cs="Arial"/>
          <w:color w:val="000000" w:themeColor="text1"/>
        </w:rPr>
        <w:t xml:space="preserve"> dose limits</w:t>
      </w:r>
      <w:r w:rsidR="000044D6" w:rsidRPr="00C03A91">
        <w:rPr>
          <w:rFonts w:ascii="Arial" w:eastAsia="Times New Roman" w:hAnsi="Arial" w:cs="Arial"/>
          <w:color w:val="000000" w:themeColor="text1"/>
        </w:rPr>
        <w:t xml:space="preserve">. Brand </w:t>
      </w:r>
      <w:r w:rsidR="00B82706" w:rsidRPr="00C03A91">
        <w:rPr>
          <w:rFonts w:ascii="Arial" w:eastAsia="Times New Roman" w:hAnsi="Arial" w:cs="Arial"/>
          <w:color w:val="000000" w:themeColor="text1"/>
        </w:rPr>
        <w:t xml:space="preserve">Tracleer </w:t>
      </w:r>
      <w:r w:rsidR="0004075A" w:rsidRPr="00C03A91">
        <w:rPr>
          <w:rFonts w:ascii="Arial" w:eastAsia="Times New Roman" w:hAnsi="Arial" w:cs="Arial"/>
          <w:color w:val="000000" w:themeColor="text1"/>
        </w:rPr>
        <w:t xml:space="preserve">(bosentan) </w:t>
      </w:r>
      <w:r w:rsidR="000044D6" w:rsidRPr="00C03A91">
        <w:rPr>
          <w:rFonts w:ascii="Arial" w:eastAsia="Times New Roman" w:hAnsi="Arial" w:cs="Arial"/>
          <w:color w:val="000000" w:themeColor="text1"/>
        </w:rPr>
        <w:t xml:space="preserve">also </w:t>
      </w:r>
      <w:r w:rsidRPr="00C03A91">
        <w:rPr>
          <w:rFonts w:ascii="Arial" w:eastAsia="Times New Roman" w:hAnsi="Arial" w:cs="Arial"/>
          <w:color w:val="000000" w:themeColor="text1"/>
        </w:rPr>
        <w:t>require</w:t>
      </w:r>
      <w:r w:rsidR="000044D6" w:rsidRPr="00C03A91">
        <w:rPr>
          <w:rFonts w:ascii="Arial" w:eastAsia="Times New Roman" w:hAnsi="Arial" w:cs="Arial"/>
          <w:color w:val="000000" w:themeColor="text1"/>
        </w:rPr>
        <w:t>s</w:t>
      </w:r>
      <w:r w:rsidRPr="00C03A91">
        <w:rPr>
          <w:rFonts w:ascii="Arial" w:eastAsia="Times New Roman" w:hAnsi="Arial" w:cs="Arial"/>
          <w:color w:val="000000" w:themeColor="text1"/>
        </w:rPr>
        <w:t xml:space="preserve"> PA for HSN patients, while generic</w:t>
      </w:r>
      <w:r w:rsidR="000044D6" w:rsidRPr="00C03A91">
        <w:rPr>
          <w:rFonts w:ascii="Arial" w:eastAsia="Times New Roman" w:hAnsi="Arial" w:cs="Arial"/>
          <w:color w:val="000000" w:themeColor="text1"/>
        </w:rPr>
        <w:t xml:space="preserve"> </w:t>
      </w:r>
      <w:r w:rsidR="00B82706" w:rsidRPr="00C03A91">
        <w:rPr>
          <w:rFonts w:ascii="Arial" w:eastAsia="Times New Roman" w:hAnsi="Arial" w:cs="Arial"/>
          <w:color w:val="000000" w:themeColor="text1"/>
        </w:rPr>
        <w:t xml:space="preserve">bosentan </w:t>
      </w:r>
      <w:r w:rsidR="008D6AA3" w:rsidRPr="00C03A91">
        <w:rPr>
          <w:rFonts w:ascii="Arial" w:eastAsia="Times New Roman" w:hAnsi="Arial" w:cs="Arial"/>
          <w:color w:val="000000" w:themeColor="text1"/>
        </w:rPr>
        <w:t xml:space="preserve">is </w:t>
      </w:r>
      <w:r w:rsidRPr="00C03A91">
        <w:rPr>
          <w:rFonts w:ascii="Arial" w:eastAsia="Times New Roman" w:hAnsi="Arial" w:cs="Arial"/>
          <w:color w:val="000000" w:themeColor="text1"/>
        </w:rPr>
        <w:t>available without PA</w:t>
      </w:r>
      <w:r w:rsidR="00FA215A" w:rsidRPr="00C03A91">
        <w:rPr>
          <w:rFonts w:ascii="Arial" w:eastAsia="Times New Roman" w:hAnsi="Arial" w:cs="Arial"/>
          <w:color w:val="000000" w:themeColor="text1"/>
        </w:rPr>
        <w:t xml:space="preserve"> within age and quantity limits. </w:t>
      </w:r>
    </w:p>
    <w:p w14:paraId="4868172D" w14:textId="77777777" w:rsidR="00255C69" w:rsidRPr="00C03A91" w:rsidRDefault="00255C69" w:rsidP="2BFC06F6">
      <w:pPr>
        <w:spacing w:after="0" w:line="276" w:lineRule="auto"/>
        <w:ind w:left="720"/>
        <w:rPr>
          <w:rFonts w:ascii="Arial" w:eastAsia="Times New Roman" w:hAnsi="Arial" w:cs="Arial"/>
          <w:color w:val="000000" w:themeColor="text1"/>
        </w:rPr>
      </w:pPr>
    </w:p>
    <w:p w14:paraId="3EFB9B96" w14:textId="6D0BBAB4" w:rsidR="0CA5D140" w:rsidRPr="00C03A91" w:rsidRDefault="7453FD0C" w:rsidP="55C8080B">
      <w:pPr>
        <w:tabs>
          <w:tab w:val="left" w:pos="9990"/>
        </w:tabs>
        <w:spacing w:after="0" w:line="276" w:lineRule="auto"/>
        <w:rPr>
          <w:rFonts w:ascii="Arial" w:eastAsia="Georgia" w:hAnsi="Arial" w:cs="Arial"/>
          <w:color w:val="000000" w:themeColor="text1"/>
        </w:rPr>
      </w:pPr>
      <w:r w:rsidRPr="00C03A91">
        <w:rPr>
          <w:rFonts w:ascii="Arial" w:eastAsia="Georgia" w:hAnsi="Arial" w:cs="Arial"/>
          <w:b/>
          <w:bCs/>
          <w:color w:val="000000" w:themeColor="text1"/>
        </w:rPr>
        <w:t xml:space="preserve">Effective January 12, 2026, PA will be required for most brand medications and all preferred non-drug products (see table above). All currently approved PAs will be terminated effective January 12, 2026. </w:t>
      </w:r>
    </w:p>
    <w:p w14:paraId="721DFAB9" w14:textId="3C9F1DE6" w:rsidR="55C8080B" w:rsidRPr="00C03A91" w:rsidRDefault="55C8080B" w:rsidP="55C8080B">
      <w:pPr>
        <w:tabs>
          <w:tab w:val="left" w:pos="9990"/>
        </w:tabs>
        <w:spacing w:after="0" w:line="276" w:lineRule="auto"/>
        <w:rPr>
          <w:rFonts w:ascii="Arial" w:eastAsia="Georgia" w:hAnsi="Arial" w:cs="Arial"/>
          <w:b/>
          <w:bCs/>
          <w:color w:val="000000" w:themeColor="text1"/>
        </w:rPr>
      </w:pPr>
    </w:p>
    <w:p w14:paraId="51D85C99" w14:textId="3B5A6249" w:rsidR="0CA5D140" w:rsidRPr="00C03A91" w:rsidRDefault="7453FD0C" w:rsidP="43A4FCC1">
      <w:pPr>
        <w:spacing w:after="0" w:line="276" w:lineRule="auto"/>
        <w:rPr>
          <w:rFonts w:ascii="Arial" w:eastAsia="Georgia" w:hAnsi="Arial" w:cs="Arial"/>
          <w:color w:val="000000" w:themeColor="text1"/>
        </w:rPr>
      </w:pPr>
      <w:r w:rsidRPr="00C03A91">
        <w:rPr>
          <w:rFonts w:ascii="Arial" w:eastAsia="Georgia" w:hAnsi="Arial" w:cs="Arial"/>
          <w:color w:val="000000" w:themeColor="text1"/>
        </w:rPr>
        <w:t xml:space="preserve">Please note that </w:t>
      </w:r>
      <w:r w:rsidRPr="00C03A91">
        <w:rPr>
          <w:rFonts w:ascii="Arial" w:eastAsia="Georgia" w:hAnsi="Arial" w:cs="Arial"/>
          <w:b/>
          <w:bCs/>
          <w:color w:val="000000" w:themeColor="text1"/>
        </w:rPr>
        <w:t xml:space="preserve">HSN is not insurance. </w:t>
      </w:r>
      <w:r w:rsidRPr="00C03A91">
        <w:rPr>
          <w:rFonts w:ascii="Arial" w:eastAsia="Georgia" w:hAnsi="Arial" w:cs="Arial"/>
          <w:color w:val="000000" w:themeColor="text1"/>
        </w:rPr>
        <w:t xml:space="preserve">Uninsured or underinsured HSN patients may be eligible to receive brand medications through manufacturer patient assistance programs, if available. Please see the </w:t>
      </w:r>
      <w:hyperlink r:id="rId11">
        <w:r w:rsidRPr="00C03A91">
          <w:rPr>
            <w:rStyle w:val="Hyperlink"/>
            <w:rFonts w:ascii="Arial" w:eastAsia="Georgia" w:hAnsi="Arial" w:cs="Arial"/>
          </w:rPr>
          <w:t>MassHealth Drug List</w:t>
        </w:r>
      </w:hyperlink>
      <w:r w:rsidRPr="00C03A91">
        <w:rPr>
          <w:rFonts w:ascii="Arial" w:eastAsia="Georgia" w:hAnsi="Arial" w:cs="Arial"/>
          <w:color w:val="000000" w:themeColor="text1"/>
        </w:rPr>
        <w:t xml:space="preserve"> </w:t>
      </w:r>
      <w:r w:rsidRPr="00C03A91">
        <w:rPr>
          <w:rFonts w:ascii="Arial" w:eastAsia="Georgia" w:hAnsi="Arial" w:cs="Arial"/>
          <w:b/>
          <w:bCs/>
          <w:color w:val="000000" w:themeColor="text1"/>
        </w:rPr>
        <w:t>HSN Formulary</w:t>
      </w:r>
      <w:r w:rsidRPr="00C03A91">
        <w:rPr>
          <w:rFonts w:ascii="Arial" w:eastAsia="Georgia" w:hAnsi="Arial" w:cs="Arial"/>
          <w:color w:val="000000" w:themeColor="text1"/>
        </w:rPr>
        <w:t xml:space="preserve"> page for more information on patient assistance programs.  </w:t>
      </w:r>
    </w:p>
    <w:p w14:paraId="0F060751" w14:textId="606E0CBF" w:rsidR="55C8080B" w:rsidRPr="00C03A91" w:rsidRDefault="55C8080B" w:rsidP="55C8080B">
      <w:pPr>
        <w:spacing w:after="0" w:line="276" w:lineRule="auto"/>
        <w:rPr>
          <w:rFonts w:ascii="Arial" w:eastAsia="Georgia" w:hAnsi="Arial" w:cs="Arial"/>
          <w:color w:val="000000" w:themeColor="text1"/>
        </w:rPr>
      </w:pPr>
    </w:p>
    <w:p w14:paraId="32443279" w14:textId="76FCC96C" w:rsidR="0CA5D140" w:rsidRPr="00C03A91" w:rsidRDefault="28073834" w:rsidP="55C8080B">
      <w:pPr>
        <w:spacing w:after="0" w:line="276" w:lineRule="auto"/>
        <w:rPr>
          <w:rFonts w:ascii="Arial" w:eastAsia="Georgia" w:hAnsi="Arial" w:cs="Arial"/>
          <w:color w:val="000000" w:themeColor="text1"/>
        </w:rPr>
      </w:pPr>
      <w:r w:rsidRPr="00C03A91">
        <w:rPr>
          <w:rFonts w:ascii="Arial" w:eastAsia="Georgia" w:hAnsi="Arial" w:cs="Arial"/>
          <w:color w:val="000000" w:themeColor="text1"/>
        </w:rPr>
        <w:t>R</w:t>
      </w:r>
      <w:r w:rsidR="7453FD0C" w:rsidRPr="00C03A91">
        <w:rPr>
          <w:rFonts w:ascii="Arial" w:eastAsia="Georgia" w:hAnsi="Arial" w:cs="Arial"/>
          <w:color w:val="000000" w:themeColor="text1"/>
        </w:rPr>
        <w:t>equests for brand medications not on the BOGL will generally be evaluated for appropriate diagnosis, trial(s) with all clinically appropriate generic and BOGL alternatives, medical necessity,</w:t>
      </w:r>
      <w:r w:rsidR="7453FD0C" w:rsidRPr="00C03A91">
        <w:rPr>
          <w:rFonts w:ascii="Arial" w:eastAsia="Georgia" w:hAnsi="Arial" w:cs="Arial"/>
          <w:b/>
          <w:bCs/>
          <w:color w:val="000000" w:themeColor="text1"/>
        </w:rPr>
        <w:t xml:space="preserve"> </w:t>
      </w:r>
      <w:r w:rsidR="7453FD0C" w:rsidRPr="00C03A91">
        <w:rPr>
          <w:rFonts w:ascii="Arial" w:eastAsia="Georgia" w:hAnsi="Arial" w:cs="Arial"/>
          <w:color w:val="000000" w:themeColor="text1"/>
        </w:rPr>
        <w:t>and documentation of application to manufacturer patient assistance program (if available).</w:t>
      </w:r>
    </w:p>
    <w:p w14:paraId="62B309D2" w14:textId="516A01B2" w:rsidR="55C8080B" w:rsidRPr="00C03A91" w:rsidRDefault="55C8080B" w:rsidP="55C8080B">
      <w:pPr>
        <w:spacing w:after="0" w:line="276" w:lineRule="auto"/>
        <w:rPr>
          <w:rFonts w:ascii="Arial" w:eastAsia="Georgia" w:hAnsi="Arial" w:cs="Arial"/>
          <w:color w:val="000000" w:themeColor="text1"/>
        </w:rPr>
      </w:pPr>
    </w:p>
    <w:p w14:paraId="5EB047C2" w14:textId="06BF86AE" w:rsidR="0CA5D140" w:rsidRPr="00C03A91" w:rsidRDefault="7453FD0C" w:rsidP="43A4FCC1">
      <w:pPr>
        <w:spacing w:after="0" w:line="276" w:lineRule="auto"/>
        <w:rPr>
          <w:rFonts w:ascii="Arial" w:eastAsia="Georgia" w:hAnsi="Arial" w:cs="Arial"/>
          <w:color w:val="000000" w:themeColor="text1"/>
        </w:rPr>
      </w:pPr>
      <w:r w:rsidRPr="00C03A91">
        <w:rPr>
          <w:rFonts w:ascii="Arial" w:eastAsia="Georgia" w:hAnsi="Arial" w:cs="Arial"/>
          <w:b/>
          <w:bCs/>
          <w:color w:val="000000" w:themeColor="text1"/>
        </w:rPr>
        <w:lastRenderedPageBreak/>
        <w:t>Providers should work with patients to apply to manufacturer patient assistance programs where appropriate and are encouraged to do so ahead of the upcoming HSN formulary changes.</w:t>
      </w:r>
      <w:r w:rsidRPr="00C03A91">
        <w:rPr>
          <w:rFonts w:ascii="Arial" w:eastAsia="Georgia" w:hAnsi="Arial" w:cs="Arial"/>
          <w:color w:val="000000" w:themeColor="text1"/>
        </w:rPr>
        <w:t xml:space="preserve"> Please see the </w:t>
      </w:r>
      <w:hyperlink r:id="rId12">
        <w:r w:rsidRPr="00C03A91">
          <w:rPr>
            <w:rStyle w:val="Hyperlink"/>
            <w:rFonts w:ascii="Arial" w:eastAsia="Georgia" w:hAnsi="Arial" w:cs="Arial"/>
          </w:rPr>
          <w:t>MassHealth Drug List</w:t>
        </w:r>
      </w:hyperlink>
      <w:r w:rsidRPr="00C03A91">
        <w:rPr>
          <w:rFonts w:ascii="Arial" w:eastAsia="Georgia" w:hAnsi="Arial" w:cs="Arial"/>
          <w:color w:val="000000" w:themeColor="text1"/>
        </w:rPr>
        <w:t xml:space="preserve"> </w:t>
      </w:r>
      <w:r w:rsidRPr="00C03A91">
        <w:rPr>
          <w:rFonts w:ascii="Arial" w:eastAsia="Georgia" w:hAnsi="Arial" w:cs="Arial"/>
          <w:b/>
          <w:bCs/>
          <w:color w:val="000000" w:themeColor="text1"/>
        </w:rPr>
        <w:t xml:space="preserve">HSN Formulary </w:t>
      </w:r>
      <w:r w:rsidRPr="00C03A91">
        <w:rPr>
          <w:rFonts w:ascii="Arial" w:eastAsia="Georgia" w:hAnsi="Arial" w:cs="Arial"/>
          <w:color w:val="000000" w:themeColor="text1"/>
        </w:rPr>
        <w:t xml:space="preserve">page for a list of medications reimbursable without PA for highly utilized therapeutic classes.  </w:t>
      </w:r>
    </w:p>
    <w:p w14:paraId="6CD0BB0E" w14:textId="20311C66" w:rsidR="0CA5D140" w:rsidRPr="00C03A91" w:rsidRDefault="0CA5D140" w:rsidP="2BFC06F6">
      <w:pPr>
        <w:tabs>
          <w:tab w:val="left" w:pos="450"/>
        </w:tabs>
        <w:spacing w:after="0" w:line="276" w:lineRule="auto"/>
        <w:rPr>
          <w:rFonts w:ascii="Arial" w:eastAsia="Georgia" w:hAnsi="Arial" w:cs="Arial"/>
          <w:color w:val="000000" w:themeColor="text1"/>
        </w:rPr>
      </w:pPr>
    </w:p>
    <w:p w14:paraId="21F7A504" w14:textId="1377ACFB" w:rsidR="0CA5D140" w:rsidRPr="00C03A91" w:rsidRDefault="7453FD0C" w:rsidP="62B7C0B5">
      <w:pPr>
        <w:tabs>
          <w:tab w:val="left" w:pos="450"/>
        </w:tabs>
        <w:spacing w:after="0" w:line="276" w:lineRule="auto"/>
        <w:rPr>
          <w:rFonts w:ascii="Arial" w:eastAsia="Georgia" w:hAnsi="Arial" w:cs="Arial"/>
        </w:rPr>
      </w:pPr>
      <w:r w:rsidRPr="00C03A91">
        <w:rPr>
          <w:rFonts w:ascii="Arial" w:eastAsia="Georgia" w:hAnsi="Arial" w:cs="Arial"/>
          <w:color w:val="000000" w:themeColor="text1"/>
        </w:rPr>
        <w:t xml:space="preserve">Additionally, HSN will enforce cost-avoidance at the pharmacy for patients with other payment options or existing insurance coverage to ensure HSN is the payer of last resort. </w:t>
      </w:r>
      <w:r w:rsidR="37F2DA08" w:rsidRPr="00C03A91">
        <w:rPr>
          <w:rFonts w:ascii="Arial" w:eastAsia="Georgia" w:hAnsi="Arial" w:cs="Arial"/>
          <w:b/>
          <w:bCs/>
          <w:color w:val="000000" w:themeColor="text1"/>
        </w:rPr>
        <w:t>To ensure HSN patients do not experience gaps in therapy, a one-time emergency override will be available for at least a 72-hour supply of medication.  Vacation overrides will no longer be available.</w:t>
      </w:r>
    </w:p>
    <w:p w14:paraId="470629FD" w14:textId="5EAA9A5A" w:rsidR="611F1BAA" w:rsidRPr="00C03A91" w:rsidRDefault="611F1BAA" w:rsidP="2BFC06F6">
      <w:pPr>
        <w:tabs>
          <w:tab w:val="left" w:pos="450"/>
        </w:tabs>
        <w:spacing w:after="0" w:line="278" w:lineRule="auto"/>
        <w:rPr>
          <w:rFonts w:ascii="Arial" w:eastAsia="Times New Roman" w:hAnsi="Arial" w:cs="Arial"/>
          <w:color w:val="000000" w:themeColor="text1"/>
        </w:rPr>
      </w:pPr>
    </w:p>
    <w:p w14:paraId="1311DBAE" w14:textId="404F932C" w:rsidR="611F1BAA" w:rsidRPr="00C03A91" w:rsidRDefault="7A8E1FFD" w:rsidP="55C8080B">
      <w:pPr>
        <w:tabs>
          <w:tab w:val="left" w:pos="450"/>
        </w:tabs>
        <w:spacing w:after="0" w:line="278" w:lineRule="auto"/>
        <w:rPr>
          <w:rFonts w:ascii="Arial" w:eastAsia="Times New Roman" w:hAnsi="Arial" w:cs="Arial"/>
          <w:color w:val="000000" w:themeColor="text1"/>
        </w:rPr>
      </w:pPr>
      <w:r w:rsidRPr="00C03A91">
        <w:rPr>
          <w:rFonts w:ascii="Arial" w:eastAsia="Times New Roman" w:hAnsi="Arial" w:cs="Arial"/>
          <w:color w:val="000000" w:themeColor="text1"/>
        </w:rPr>
        <w:t>Pharmacists and prescribers who have questions regarding HSN PAs may contact the Drug Utilization Review Program at (800) 745-7318.</w:t>
      </w:r>
      <w:r w:rsidR="0CC38296" w:rsidRPr="00C03A91">
        <w:rPr>
          <w:rFonts w:ascii="Arial" w:eastAsia="Times New Roman" w:hAnsi="Arial" w:cs="Arial"/>
          <w:color w:val="000000" w:themeColor="text1"/>
        </w:rPr>
        <w:t xml:space="preserve"> </w:t>
      </w:r>
      <w:r w:rsidR="041E8D5C" w:rsidRPr="00C03A91">
        <w:rPr>
          <w:rFonts w:ascii="Arial" w:eastAsia="Times New Roman" w:hAnsi="Arial" w:cs="Arial"/>
          <w:color w:val="000000" w:themeColor="text1"/>
        </w:rPr>
        <w:t xml:space="preserve">Patients with questions should speak with the prescribers of their medication(s). </w:t>
      </w:r>
    </w:p>
    <w:p w14:paraId="3E285B75" w14:textId="7F7797CA" w:rsidR="611F1BAA" w:rsidRPr="00C03A91" w:rsidRDefault="611F1BAA" w:rsidP="7A5BE200">
      <w:pPr>
        <w:spacing w:line="278" w:lineRule="auto"/>
        <w:rPr>
          <w:rFonts w:ascii="Arial" w:hAnsi="Arial" w:cs="Arial"/>
        </w:rPr>
      </w:pPr>
      <w:r w:rsidRPr="00C03A91">
        <w:rPr>
          <w:rFonts w:ascii="Arial" w:eastAsia="Georgia" w:hAnsi="Arial" w:cs="Arial"/>
          <w:color w:val="000000" w:themeColor="text1"/>
        </w:rPr>
        <w:t xml:space="preserve"> </w:t>
      </w:r>
    </w:p>
    <w:p w14:paraId="45DE7020" w14:textId="75A872EE" w:rsidR="611F1BAA" w:rsidRPr="00C03A91" w:rsidRDefault="611F1BAA" w:rsidP="7A5BE200">
      <w:pPr>
        <w:spacing w:line="278" w:lineRule="auto"/>
        <w:rPr>
          <w:rFonts w:ascii="Arial" w:hAnsi="Arial" w:cs="Arial"/>
        </w:rPr>
      </w:pPr>
      <w:r w:rsidRPr="00C03A91">
        <w:rPr>
          <w:rFonts w:ascii="Arial" w:eastAsia="Georgia" w:hAnsi="Arial" w:cs="Arial"/>
          <w:color w:val="000000" w:themeColor="text1"/>
        </w:rPr>
        <w:t xml:space="preserve"> </w:t>
      </w:r>
    </w:p>
    <w:p w14:paraId="105458DC" w14:textId="61C43908" w:rsidR="7A5BE200" w:rsidRPr="00C03A91" w:rsidRDefault="7A5BE200" w:rsidP="7A5BE200">
      <w:pPr>
        <w:spacing w:after="0"/>
        <w:rPr>
          <w:rFonts w:ascii="Arial" w:hAnsi="Arial" w:cs="Arial"/>
        </w:rPr>
      </w:pPr>
    </w:p>
    <w:p w14:paraId="1D81AC6B" w14:textId="625F9947" w:rsidR="7A5BE200" w:rsidRPr="00C03A91" w:rsidRDefault="7A5BE200" w:rsidP="7A5BE200">
      <w:pPr>
        <w:rPr>
          <w:rFonts w:ascii="Arial" w:eastAsia="Times New Roman" w:hAnsi="Arial" w:cs="Arial"/>
          <w:b/>
          <w:bCs/>
          <w:color w:val="000000" w:themeColor="text1"/>
        </w:rPr>
      </w:pPr>
    </w:p>
    <w:sectPr w:rsidR="7A5BE200" w:rsidRPr="00C03A91" w:rsidSect="00F84DCE">
      <w:headerReference w:type="default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8769E" w14:textId="77777777" w:rsidR="00544220" w:rsidRDefault="00544220">
      <w:pPr>
        <w:spacing w:after="0" w:line="240" w:lineRule="auto"/>
      </w:pPr>
      <w:r>
        <w:separator/>
      </w:r>
    </w:p>
  </w:endnote>
  <w:endnote w:type="continuationSeparator" w:id="0">
    <w:p w14:paraId="625CCAFC" w14:textId="77777777" w:rsidR="00544220" w:rsidRDefault="005442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altName w:val="Cambria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40E5DB5E" w14:paraId="0439186C" w14:textId="77777777" w:rsidTr="40E5DB5E">
      <w:trPr>
        <w:trHeight w:val="300"/>
      </w:trPr>
      <w:tc>
        <w:tcPr>
          <w:tcW w:w="3120" w:type="dxa"/>
        </w:tcPr>
        <w:p w14:paraId="33E4F54E" w14:textId="198155BD" w:rsidR="40E5DB5E" w:rsidRDefault="40E5DB5E" w:rsidP="00D4488C">
          <w:pPr>
            <w:pStyle w:val="Header"/>
            <w:ind w:left="-825"/>
          </w:pPr>
        </w:p>
      </w:tc>
      <w:tc>
        <w:tcPr>
          <w:tcW w:w="3120" w:type="dxa"/>
        </w:tcPr>
        <w:p w14:paraId="12B81178" w14:textId="752ECF75" w:rsidR="40E5DB5E" w:rsidRDefault="40E5DB5E" w:rsidP="40E5DB5E">
          <w:pPr>
            <w:pStyle w:val="Header"/>
            <w:jc w:val="center"/>
          </w:pPr>
        </w:p>
      </w:tc>
      <w:tc>
        <w:tcPr>
          <w:tcW w:w="3120" w:type="dxa"/>
        </w:tcPr>
        <w:p w14:paraId="312D25D8" w14:textId="25EF5D7A" w:rsidR="40E5DB5E" w:rsidRDefault="40E5DB5E" w:rsidP="40E5DB5E">
          <w:pPr>
            <w:pStyle w:val="Header"/>
            <w:ind w:right="-115"/>
            <w:jc w:val="right"/>
          </w:pPr>
        </w:p>
      </w:tc>
    </w:tr>
  </w:tbl>
  <w:p w14:paraId="23CC9239" w14:textId="135F8422" w:rsidR="40E5DB5E" w:rsidRDefault="40E5DB5E" w:rsidP="00F84DCE">
    <w:pPr>
      <w:pStyle w:val="Footer"/>
      <w:ind w:left="-7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25165" w14:textId="07622301" w:rsidR="00F84DCE" w:rsidRPr="000A48A8" w:rsidRDefault="000A48A8">
    <w:pPr>
      <w:pStyle w:val="Footer"/>
      <w:rPr>
        <w:rFonts w:ascii="Arial" w:hAnsi="Arial" w:cs="Arial"/>
      </w:rPr>
    </w:pPr>
    <w:r w:rsidRPr="000A48A8">
      <w:rPr>
        <w:rFonts w:ascii="Arial" w:hAnsi="Arial" w:cs="Arial"/>
      </w:rPr>
      <w:t>RHSN (Rev.02/26)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CE5E0" w14:textId="77777777" w:rsidR="00544220" w:rsidRDefault="00544220">
      <w:pPr>
        <w:spacing w:after="0" w:line="240" w:lineRule="auto"/>
      </w:pPr>
      <w:r>
        <w:separator/>
      </w:r>
    </w:p>
  </w:footnote>
  <w:footnote w:type="continuationSeparator" w:id="0">
    <w:p w14:paraId="17C712FF" w14:textId="77777777" w:rsidR="00544220" w:rsidRDefault="005442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BFC06F6" w14:paraId="32ED4669" w14:textId="77777777" w:rsidTr="2BFC06F6">
      <w:trPr>
        <w:trHeight w:val="300"/>
      </w:trPr>
      <w:tc>
        <w:tcPr>
          <w:tcW w:w="3120" w:type="dxa"/>
        </w:tcPr>
        <w:p w14:paraId="22F43051" w14:textId="475955AE" w:rsidR="2BFC06F6" w:rsidRDefault="2BFC06F6" w:rsidP="2BFC06F6">
          <w:pPr>
            <w:pStyle w:val="Header"/>
            <w:ind w:left="-115"/>
          </w:pPr>
        </w:p>
      </w:tc>
      <w:tc>
        <w:tcPr>
          <w:tcW w:w="3120" w:type="dxa"/>
        </w:tcPr>
        <w:p w14:paraId="04D60040" w14:textId="66E3D77D" w:rsidR="2BFC06F6" w:rsidRDefault="2BFC06F6" w:rsidP="2BFC06F6">
          <w:pPr>
            <w:pStyle w:val="Header"/>
            <w:jc w:val="center"/>
          </w:pPr>
        </w:p>
      </w:tc>
      <w:tc>
        <w:tcPr>
          <w:tcW w:w="3120" w:type="dxa"/>
        </w:tcPr>
        <w:p w14:paraId="2F11FDF4" w14:textId="49BA4AAB" w:rsidR="2BFC06F6" w:rsidRDefault="2BFC06F6" w:rsidP="2BFC06F6">
          <w:pPr>
            <w:pStyle w:val="Header"/>
            <w:ind w:right="-115"/>
            <w:jc w:val="right"/>
          </w:pPr>
        </w:p>
      </w:tc>
    </w:tr>
  </w:tbl>
  <w:p w14:paraId="75DB3896" w14:textId="05365B10" w:rsidR="2BFC06F6" w:rsidRDefault="2BFC06F6" w:rsidP="2BFC06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BFC06F6" w14:paraId="0778D042" w14:textId="77777777" w:rsidTr="2BFC06F6">
      <w:trPr>
        <w:trHeight w:val="300"/>
      </w:trPr>
      <w:tc>
        <w:tcPr>
          <w:tcW w:w="3120" w:type="dxa"/>
        </w:tcPr>
        <w:p w14:paraId="0D281852" w14:textId="48966285" w:rsidR="2BFC06F6" w:rsidRDefault="2BFC06F6" w:rsidP="2BFC06F6">
          <w:pPr>
            <w:pStyle w:val="Header"/>
            <w:ind w:left="-115"/>
          </w:pPr>
        </w:p>
      </w:tc>
      <w:tc>
        <w:tcPr>
          <w:tcW w:w="3120" w:type="dxa"/>
        </w:tcPr>
        <w:p w14:paraId="2851904C" w14:textId="28A29C64" w:rsidR="2BFC06F6" w:rsidRDefault="2BFC06F6" w:rsidP="2BFC06F6">
          <w:pPr>
            <w:pStyle w:val="Header"/>
            <w:jc w:val="center"/>
          </w:pPr>
        </w:p>
      </w:tc>
      <w:tc>
        <w:tcPr>
          <w:tcW w:w="3120" w:type="dxa"/>
        </w:tcPr>
        <w:p w14:paraId="247B23B3" w14:textId="12C5C4C7" w:rsidR="2BFC06F6" w:rsidRDefault="2BFC06F6" w:rsidP="2BFC06F6">
          <w:pPr>
            <w:pStyle w:val="Header"/>
            <w:ind w:right="-115"/>
            <w:jc w:val="right"/>
          </w:pPr>
        </w:p>
      </w:tc>
    </w:tr>
  </w:tbl>
  <w:p w14:paraId="71F7CF0E" w14:textId="40807DAA" w:rsidR="2BFC06F6" w:rsidRDefault="2BFC06F6" w:rsidP="2BFC06F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7F31A"/>
    <w:multiLevelType w:val="hybridMultilevel"/>
    <w:tmpl w:val="52B43B38"/>
    <w:lvl w:ilvl="0" w:tplc="2F7035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6855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368D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1404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FAE5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BAAD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0B0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6466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4C4E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26E79"/>
    <w:multiLevelType w:val="hybridMultilevel"/>
    <w:tmpl w:val="6F1C0B4E"/>
    <w:lvl w:ilvl="0" w:tplc="259C2A28"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1" w:tplc="C468439C">
      <w:start w:val="1"/>
      <w:numFmt w:val="bullet"/>
      <w:lvlText w:val="o"/>
      <w:lvlJc w:val="left"/>
      <w:pPr>
        <w:ind w:left="900" w:hanging="360"/>
      </w:pPr>
      <w:rPr>
        <w:rFonts w:ascii="Courier New" w:hAnsi="Courier New" w:hint="default"/>
      </w:rPr>
    </w:lvl>
    <w:lvl w:ilvl="2" w:tplc="3EC6B5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4C61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52B2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8C6B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0864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845C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167B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58457"/>
    <w:multiLevelType w:val="hybridMultilevel"/>
    <w:tmpl w:val="E1367AE4"/>
    <w:lvl w:ilvl="0" w:tplc="F54C19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3E434C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3CE207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EE0E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D690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B4F0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BCB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4CFB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DE62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47EBF3"/>
    <w:multiLevelType w:val="hybridMultilevel"/>
    <w:tmpl w:val="48728B40"/>
    <w:lvl w:ilvl="0" w:tplc="87601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3430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7AA8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E0C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364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326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722F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E292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94E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164A2"/>
    <w:multiLevelType w:val="hybridMultilevel"/>
    <w:tmpl w:val="6D6EAC94"/>
    <w:lvl w:ilvl="0" w:tplc="52D89A3C">
      <w:start w:val="1"/>
      <w:numFmt w:val="bullet"/>
      <w:lvlText w:val="o"/>
      <w:lvlJc w:val="left"/>
      <w:pPr>
        <w:ind w:left="720" w:hanging="360"/>
      </w:pPr>
      <w:rPr>
        <w:rFonts w:ascii="&quot;Courier New&quot;" w:hAnsi="&quot;Courier New&quot;" w:hint="default"/>
      </w:rPr>
    </w:lvl>
    <w:lvl w:ilvl="1" w:tplc="9C9ED3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2C70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0C47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8AEC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663C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84FF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CE5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F4C0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567C06"/>
    <w:multiLevelType w:val="hybridMultilevel"/>
    <w:tmpl w:val="EEA02CDC"/>
    <w:lvl w:ilvl="0" w:tplc="387A1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16DA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98DA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6C0E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F8F4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48A4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1823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6C3E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C23B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76C15"/>
    <w:multiLevelType w:val="hybridMultilevel"/>
    <w:tmpl w:val="0016C766"/>
    <w:lvl w:ilvl="0" w:tplc="3B72F4C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5633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8C1E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0CF6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DA7B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C43B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FEAE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9458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9881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EF1EC7"/>
    <w:multiLevelType w:val="hybridMultilevel"/>
    <w:tmpl w:val="1FCC206E"/>
    <w:lvl w:ilvl="0" w:tplc="A002D71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7E0E93E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97A056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5053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A209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32B8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A6A2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7826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945A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F86980"/>
    <w:multiLevelType w:val="hybridMultilevel"/>
    <w:tmpl w:val="2EFCE8BC"/>
    <w:lvl w:ilvl="0" w:tplc="2FA09A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721040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1ECC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D82B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A049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0AED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CCB7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3CDF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8083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A85889"/>
    <w:multiLevelType w:val="hybridMultilevel"/>
    <w:tmpl w:val="6616CA94"/>
    <w:lvl w:ilvl="0" w:tplc="243C8F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0030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4A8F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64A5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78EB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E003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6A70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5673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B8BB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3431906">
    <w:abstractNumId w:val="1"/>
  </w:num>
  <w:num w:numId="2" w16cid:durableId="1713722786">
    <w:abstractNumId w:val="7"/>
  </w:num>
  <w:num w:numId="3" w16cid:durableId="1528788142">
    <w:abstractNumId w:val="4"/>
  </w:num>
  <w:num w:numId="4" w16cid:durableId="1061245767">
    <w:abstractNumId w:val="6"/>
  </w:num>
  <w:num w:numId="5" w16cid:durableId="1625427301">
    <w:abstractNumId w:val="0"/>
  </w:num>
  <w:num w:numId="6" w16cid:durableId="1201019001">
    <w:abstractNumId w:val="5"/>
  </w:num>
  <w:num w:numId="7" w16cid:durableId="928538661">
    <w:abstractNumId w:val="9"/>
  </w:num>
  <w:num w:numId="8" w16cid:durableId="120802929">
    <w:abstractNumId w:val="2"/>
  </w:num>
  <w:num w:numId="9" w16cid:durableId="278297827">
    <w:abstractNumId w:val="8"/>
  </w:num>
  <w:num w:numId="10" w16cid:durableId="987442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F9F5498"/>
    <w:rsid w:val="000044D6"/>
    <w:rsid w:val="00004A64"/>
    <w:rsid w:val="0001176D"/>
    <w:rsid w:val="00030C77"/>
    <w:rsid w:val="0003426D"/>
    <w:rsid w:val="0004075A"/>
    <w:rsid w:val="00041118"/>
    <w:rsid w:val="00073AA1"/>
    <w:rsid w:val="000A48A8"/>
    <w:rsid w:val="001373E6"/>
    <w:rsid w:val="00155028"/>
    <w:rsid w:val="001919BE"/>
    <w:rsid w:val="001F1804"/>
    <w:rsid w:val="0021277B"/>
    <w:rsid w:val="002146F3"/>
    <w:rsid w:val="00216F24"/>
    <w:rsid w:val="00233E9E"/>
    <w:rsid w:val="00241E95"/>
    <w:rsid w:val="002549E3"/>
    <w:rsid w:val="00255C69"/>
    <w:rsid w:val="002810D0"/>
    <w:rsid w:val="00285853"/>
    <w:rsid w:val="002E6E8A"/>
    <w:rsid w:val="002F2120"/>
    <w:rsid w:val="002F60B8"/>
    <w:rsid w:val="00326110"/>
    <w:rsid w:val="00327693"/>
    <w:rsid w:val="003926E3"/>
    <w:rsid w:val="003B4E2D"/>
    <w:rsid w:val="003F3B81"/>
    <w:rsid w:val="004039C5"/>
    <w:rsid w:val="00427600"/>
    <w:rsid w:val="004710EA"/>
    <w:rsid w:val="00477A11"/>
    <w:rsid w:val="00486EF0"/>
    <w:rsid w:val="00494F78"/>
    <w:rsid w:val="004A002D"/>
    <w:rsid w:val="004E6A8E"/>
    <w:rsid w:val="004F15B7"/>
    <w:rsid w:val="00544220"/>
    <w:rsid w:val="00563A7A"/>
    <w:rsid w:val="00571A81"/>
    <w:rsid w:val="005731FC"/>
    <w:rsid w:val="005B2267"/>
    <w:rsid w:val="005D1309"/>
    <w:rsid w:val="005E7531"/>
    <w:rsid w:val="005F3118"/>
    <w:rsid w:val="00601461"/>
    <w:rsid w:val="00603AA9"/>
    <w:rsid w:val="00632306"/>
    <w:rsid w:val="00657585"/>
    <w:rsid w:val="00696378"/>
    <w:rsid w:val="006B334F"/>
    <w:rsid w:val="006E1B90"/>
    <w:rsid w:val="006F0F4F"/>
    <w:rsid w:val="0071065C"/>
    <w:rsid w:val="007232B4"/>
    <w:rsid w:val="00770B3B"/>
    <w:rsid w:val="007873F5"/>
    <w:rsid w:val="007E398E"/>
    <w:rsid w:val="007F03D0"/>
    <w:rsid w:val="00823FCE"/>
    <w:rsid w:val="00861080"/>
    <w:rsid w:val="008621C7"/>
    <w:rsid w:val="00863CED"/>
    <w:rsid w:val="008D2302"/>
    <w:rsid w:val="008D6AA3"/>
    <w:rsid w:val="00955BB4"/>
    <w:rsid w:val="009A1053"/>
    <w:rsid w:val="009B1B42"/>
    <w:rsid w:val="009C0394"/>
    <w:rsid w:val="009D68DF"/>
    <w:rsid w:val="00A86D94"/>
    <w:rsid w:val="00A940D7"/>
    <w:rsid w:val="00A95DCC"/>
    <w:rsid w:val="00AD76CE"/>
    <w:rsid w:val="00AE1C1E"/>
    <w:rsid w:val="00B10ED7"/>
    <w:rsid w:val="00B41AFE"/>
    <w:rsid w:val="00B62BBA"/>
    <w:rsid w:val="00B67F4B"/>
    <w:rsid w:val="00B82706"/>
    <w:rsid w:val="00BB7836"/>
    <w:rsid w:val="00BC14FE"/>
    <w:rsid w:val="00BD6F89"/>
    <w:rsid w:val="00C03A91"/>
    <w:rsid w:val="00C35B61"/>
    <w:rsid w:val="00C444D3"/>
    <w:rsid w:val="00C80E06"/>
    <w:rsid w:val="00CF1DE6"/>
    <w:rsid w:val="00D4488C"/>
    <w:rsid w:val="00D73BFF"/>
    <w:rsid w:val="00D85BF6"/>
    <w:rsid w:val="00DD20B6"/>
    <w:rsid w:val="00E10535"/>
    <w:rsid w:val="00E263DF"/>
    <w:rsid w:val="00E55820"/>
    <w:rsid w:val="00E939D2"/>
    <w:rsid w:val="00F23929"/>
    <w:rsid w:val="00F301C8"/>
    <w:rsid w:val="00F419B7"/>
    <w:rsid w:val="00F65042"/>
    <w:rsid w:val="00F81375"/>
    <w:rsid w:val="00F84DCE"/>
    <w:rsid w:val="00F92E3C"/>
    <w:rsid w:val="00FA215A"/>
    <w:rsid w:val="00FA350C"/>
    <w:rsid w:val="00FC1891"/>
    <w:rsid w:val="03047267"/>
    <w:rsid w:val="037EDCAD"/>
    <w:rsid w:val="041E8D5C"/>
    <w:rsid w:val="042C3F1C"/>
    <w:rsid w:val="052A110C"/>
    <w:rsid w:val="06168451"/>
    <w:rsid w:val="069A89F6"/>
    <w:rsid w:val="070CEA99"/>
    <w:rsid w:val="070D53DE"/>
    <w:rsid w:val="080A2FB0"/>
    <w:rsid w:val="08E0ABE3"/>
    <w:rsid w:val="09302B1D"/>
    <w:rsid w:val="09310A91"/>
    <w:rsid w:val="0B0B9D30"/>
    <w:rsid w:val="0B1009BE"/>
    <w:rsid w:val="0C2ACA77"/>
    <w:rsid w:val="0CA5D140"/>
    <w:rsid w:val="0CC38296"/>
    <w:rsid w:val="0CCE2E78"/>
    <w:rsid w:val="0D7D18FD"/>
    <w:rsid w:val="0DCD0F94"/>
    <w:rsid w:val="0DD1A2BE"/>
    <w:rsid w:val="0E5AA08D"/>
    <w:rsid w:val="0EC69209"/>
    <w:rsid w:val="0EF7A908"/>
    <w:rsid w:val="0FB2E0D5"/>
    <w:rsid w:val="0FDBEAEB"/>
    <w:rsid w:val="105A9135"/>
    <w:rsid w:val="10D6E441"/>
    <w:rsid w:val="1121B6F8"/>
    <w:rsid w:val="11751BE1"/>
    <w:rsid w:val="11B24FCD"/>
    <w:rsid w:val="12B342FE"/>
    <w:rsid w:val="137D4E8F"/>
    <w:rsid w:val="14745150"/>
    <w:rsid w:val="148B6ED5"/>
    <w:rsid w:val="16032D14"/>
    <w:rsid w:val="162EDD38"/>
    <w:rsid w:val="170F1189"/>
    <w:rsid w:val="172F3BB8"/>
    <w:rsid w:val="185DBFE8"/>
    <w:rsid w:val="18817A6E"/>
    <w:rsid w:val="19378B5C"/>
    <w:rsid w:val="1A2E5687"/>
    <w:rsid w:val="1AF57294"/>
    <w:rsid w:val="1C1FD31E"/>
    <w:rsid w:val="1C294FF2"/>
    <w:rsid w:val="1C6E3F6C"/>
    <w:rsid w:val="1D0A960E"/>
    <w:rsid w:val="1D8959B7"/>
    <w:rsid w:val="1DA48F87"/>
    <w:rsid w:val="1E696CBE"/>
    <w:rsid w:val="1F4AF6BD"/>
    <w:rsid w:val="1F6F8382"/>
    <w:rsid w:val="20AF15CE"/>
    <w:rsid w:val="2188379C"/>
    <w:rsid w:val="225EC296"/>
    <w:rsid w:val="22B88FD2"/>
    <w:rsid w:val="2302DEF1"/>
    <w:rsid w:val="235969F2"/>
    <w:rsid w:val="23BF86DA"/>
    <w:rsid w:val="2419F6C5"/>
    <w:rsid w:val="24B7A127"/>
    <w:rsid w:val="24E4AAEF"/>
    <w:rsid w:val="254983B2"/>
    <w:rsid w:val="254E92D6"/>
    <w:rsid w:val="26FBDA27"/>
    <w:rsid w:val="2700A24E"/>
    <w:rsid w:val="270346B1"/>
    <w:rsid w:val="279AD4FB"/>
    <w:rsid w:val="279EB3D7"/>
    <w:rsid w:val="28073834"/>
    <w:rsid w:val="283EF249"/>
    <w:rsid w:val="28A73802"/>
    <w:rsid w:val="291E6234"/>
    <w:rsid w:val="29500DB9"/>
    <w:rsid w:val="2A4F7166"/>
    <w:rsid w:val="2AA1120A"/>
    <w:rsid w:val="2B7A0B86"/>
    <w:rsid w:val="2BB0C67E"/>
    <w:rsid w:val="2BD16E4E"/>
    <w:rsid w:val="2BFC06F6"/>
    <w:rsid w:val="2D6F17CD"/>
    <w:rsid w:val="2E2A6B44"/>
    <w:rsid w:val="2EDB1F48"/>
    <w:rsid w:val="2F9F5498"/>
    <w:rsid w:val="2FC5AB35"/>
    <w:rsid w:val="2FD752E5"/>
    <w:rsid w:val="307C4102"/>
    <w:rsid w:val="313E36A5"/>
    <w:rsid w:val="3193B2C9"/>
    <w:rsid w:val="325628C5"/>
    <w:rsid w:val="3261AB12"/>
    <w:rsid w:val="3291845B"/>
    <w:rsid w:val="32F13EF9"/>
    <w:rsid w:val="33292859"/>
    <w:rsid w:val="336FA3B0"/>
    <w:rsid w:val="3386FE88"/>
    <w:rsid w:val="33CB8B64"/>
    <w:rsid w:val="340FB173"/>
    <w:rsid w:val="3434908A"/>
    <w:rsid w:val="3434A5FE"/>
    <w:rsid w:val="348804EF"/>
    <w:rsid w:val="36048687"/>
    <w:rsid w:val="3617B83B"/>
    <w:rsid w:val="36C27340"/>
    <w:rsid w:val="37F2DA08"/>
    <w:rsid w:val="384474E9"/>
    <w:rsid w:val="3A20AD3E"/>
    <w:rsid w:val="3A4380C8"/>
    <w:rsid w:val="3A834618"/>
    <w:rsid w:val="3A8C9B96"/>
    <w:rsid w:val="3C8B8E71"/>
    <w:rsid w:val="3D2DB235"/>
    <w:rsid w:val="3D4BF641"/>
    <w:rsid w:val="3DF7AB02"/>
    <w:rsid w:val="3E4EBF01"/>
    <w:rsid w:val="3E8D9E6E"/>
    <w:rsid w:val="3EB614BF"/>
    <w:rsid w:val="3F978015"/>
    <w:rsid w:val="3F9F22FF"/>
    <w:rsid w:val="40062C6D"/>
    <w:rsid w:val="4021EB9A"/>
    <w:rsid w:val="40E5DB5E"/>
    <w:rsid w:val="4246DC1A"/>
    <w:rsid w:val="4271325C"/>
    <w:rsid w:val="43A4FCC1"/>
    <w:rsid w:val="43BF7FB7"/>
    <w:rsid w:val="4423039A"/>
    <w:rsid w:val="44FEEAAA"/>
    <w:rsid w:val="450C0287"/>
    <w:rsid w:val="46BD136D"/>
    <w:rsid w:val="4A4732B6"/>
    <w:rsid w:val="4B8D0882"/>
    <w:rsid w:val="4E2175EE"/>
    <w:rsid w:val="4E810ABE"/>
    <w:rsid w:val="4F742D3B"/>
    <w:rsid w:val="4F94632B"/>
    <w:rsid w:val="50815210"/>
    <w:rsid w:val="50D2E6C8"/>
    <w:rsid w:val="516899CE"/>
    <w:rsid w:val="53215795"/>
    <w:rsid w:val="54E28767"/>
    <w:rsid w:val="55C8080B"/>
    <w:rsid w:val="567D927D"/>
    <w:rsid w:val="56991843"/>
    <w:rsid w:val="56D57361"/>
    <w:rsid w:val="56D7657A"/>
    <w:rsid w:val="5787655C"/>
    <w:rsid w:val="57946F53"/>
    <w:rsid w:val="5798EFFF"/>
    <w:rsid w:val="57EFF132"/>
    <w:rsid w:val="58094CC9"/>
    <w:rsid w:val="582DF247"/>
    <w:rsid w:val="5A0A095A"/>
    <w:rsid w:val="5AF82B34"/>
    <w:rsid w:val="5C0F237D"/>
    <w:rsid w:val="5C35B5F2"/>
    <w:rsid w:val="5CF17239"/>
    <w:rsid w:val="5DC1B32E"/>
    <w:rsid w:val="5E047207"/>
    <w:rsid w:val="5E1876E5"/>
    <w:rsid w:val="5F9FAA05"/>
    <w:rsid w:val="60166080"/>
    <w:rsid w:val="608BD93B"/>
    <w:rsid w:val="60B3D342"/>
    <w:rsid w:val="61148042"/>
    <w:rsid w:val="611F1BAA"/>
    <w:rsid w:val="62B7C0B5"/>
    <w:rsid w:val="62D571DD"/>
    <w:rsid w:val="6334508D"/>
    <w:rsid w:val="63CD8B99"/>
    <w:rsid w:val="64FA50E6"/>
    <w:rsid w:val="65A8AE94"/>
    <w:rsid w:val="699B5EC9"/>
    <w:rsid w:val="6A47DC6D"/>
    <w:rsid w:val="6A85494A"/>
    <w:rsid w:val="6A97CDB3"/>
    <w:rsid w:val="6B26E854"/>
    <w:rsid w:val="6B541A4F"/>
    <w:rsid w:val="6DAE338B"/>
    <w:rsid w:val="6DAF5FBB"/>
    <w:rsid w:val="6E2137DE"/>
    <w:rsid w:val="6F1413EA"/>
    <w:rsid w:val="6F414E17"/>
    <w:rsid w:val="6FDC6EBD"/>
    <w:rsid w:val="70302795"/>
    <w:rsid w:val="703EE223"/>
    <w:rsid w:val="7091343D"/>
    <w:rsid w:val="70C2B140"/>
    <w:rsid w:val="71A1CB95"/>
    <w:rsid w:val="723A7851"/>
    <w:rsid w:val="73DD3E65"/>
    <w:rsid w:val="7410D7B3"/>
    <w:rsid w:val="7453FD0C"/>
    <w:rsid w:val="748C0739"/>
    <w:rsid w:val="74B1F7F3"/>
    <w:rsid w:val="74B76DED"/>
    <w:rsid w:val="75E81E9E"/>
    <w:rsid w:val="761C51EC"/>
    <w:rsid w:val="7687F7A5"/>
    <w:rsid w:val="76B20D9C"/>
    <w:rsid w:val="7701F3D8"/>
    <w:rsid w:val="786E7FE7"/>
    <w:rsid w:val="79625C9B"/>
    <w:rsid w:val="7A5BE200"/>
    <w:rsid w:val="7A8E1FFD"/>
    <w:rsid w:val="7ADD7F5C"/>
    <w:rsid w:val="7BB9E93C"/>
    <w:rsid w:val="7BC9BD11"/>
    <w:rsid w:val="7C1CFAB2"/>
    <w:rsid w:val="7C938005"/>
    <w:rsid w:val="7CA94E06"/>
    <w:rsid w:val="7D38D7A3"/>
    <w:rsid w:val="7DDB2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9F5498"/>
  <w15:chartTrackingRefBased/>
  <w15:docId w15:val="{B6EC1902-6A86-445E-B1D1-330834364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7C1CFA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71A1CB95"/>
    <w:rPr>
      <w:color w:val="467886"/>
      <w:u w:val="single"/>
    </w:rPr>
  </w:style>
  <w:style w:type="paragraph" w:styleId="Header">
    <w:name w:val="header"/>
    <w:basedOn w:val="Normal"/>
    <w:uiPriority w:val="99"/>
    <w:unhideWhenUsed/>
    <w:rsid w:val="40E5DB5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40E5DB5E"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2146F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E7531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95DCC"/>
    <w:rPr>
      <w:color w:val="96607D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5D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5D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mhdl.pharmacy.services.conduent.com/MHDL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hdl.pharmacy.services.conduent.com/MHDL/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s://mhdl.pharmacy.services.conduent.com/MHDL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948B3CF23A144A486E4E782C08A15" ma:contentTypeVersion="21" ma:contentTypeDescription="Create a new document." ma:contentTypeScope="" ma:versionID="b79234cbae7a873678c9004e2668a556">
  <xsd:schema xmlns:xsd="http://www.w3.org/2001/XMLSchema" xmlns:xs="http://www.w3.org/2001/XMLSchema" xmlns:p="http://schemas.microsoft.com/office/2006/metadata/properties" xmlns:ns1="http://schemas.microsoft.com/sharepoint/v3" xmlns:ns2="5c0ed19a-6442-486d-a068-86457d131ec5" xmlns:ns3="a2ac5cde-4468-402a-ac20-5b556603971c" targetNamespace="http://schemas.microsoft.com/office/2006/metadata/properties" ma:root="true" ma:fieldsID="48acc0827222f2b9c062fbfed881b2f7" ns1:_="" ns2:_="" ns3:_="">
    <xsd:import namespace="http://schemas.microsoft.com/sharepoint/v3"/>
    <xsd:import namespace="5c0ed19a-6442-486d-a068-86457d131ec5"/>
    <xsd:import namespace="a2ac5cde-4468-402a-ac20-5b55660397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CurrentVersion" minOccurs="0"/>
                <xsd:element ref="ns2:Effective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ed19a-6442-486d-a068-86457d131e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c592f6e-9db9-49f2-9f9e-7d6ee315dce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CurrentVersion" ma:index="22" nillable="true" ma:displayName="Current Version" ma:default="1" ma:format="Dropdown" ma:internalName="CurrentVersion">
      <xsd:simpleType>
        <xsd:restriction base="dms:Boolean"/>
      </xsd:simpleType>
    </xsd:element>
    <xsd:element name="Effectiveon" ma:index="23" nillable="true" ma:displayName="Effective on" ma:format="DateOnly" ma:internalName="Effectiveon">
      <xsd:simpleType>
        <xsd:restriction base="dms:DateTim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c5cde-4468-402a-ac20-5b55660397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875a8000-916a-4dcb-802f-e3b4d15fce1e}" ma:internalName="TaxCatchAll" ma:showField="CatchAllData" ma:web="a2ac5cde-4468-402a-ac20-5b55660397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ac5cde-4468-402a-ac20-5b556603971c" xsi:nil="true"/>
    <lcf76f155ced4ddcb4097134ff3c332f xmlns="5c0ed19a-6442-486d-a068-86457d131ec5">
      <Terms xmlns="http://schemas.microsoft.com/office/infopath/2007/PartnerControls"/>
    </lcf76f155ced4ddcb4097134ff3c332f>
    <_ip_UnifiedCompliancePolicyUIAction xmlns="http://schemas.microsoft.com/sharepoint/v3" xsi:nil="true"/>
    <CurrentVersion xmlns="5c0ed19a-6442-486d-a068-86457d131ec5">true</CurrentVersion>
    <Effectiveon xmlns="5c0ed19a-6442-486d-a068-86457d131ec5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DB38F8-CE3A-47E6-B8CD-388D93B70A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c0ed19a-6442-486d-a068-86457d131ec5"/>
    <ds:schemaRef ds:uri="a2ac5cde-4468-402a-ac20-5b55660397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7A47AAC-B780-431D-AAF6-7DF52992CD64}">
  <ds:schemaRefs>
    <ds:schemaRef ds:uri="http://schemas.microsoft.com/office/2006/metadata/properties"/>
    <ds:schemaRef ds:uri="http://schemas.microsoft.com/office/infopath/2007/PartnerControls"/>
    <ds:schemaRef ds:uri="a2ac5cde-4468-402a-ac20-5b556603971c"/>
    <ds:schemaRef ds:uri="5c0ed19a-6442-486d-a068-86457d131ec5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23595ED2-C237-4A08-AB00-333814260F1E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e861d16-48b7-4a0e-9806-8c04d81b7b2a}" enabled="0" method="" siteId="{3e861d16-48b7-4a0e-9806-8c04d81b7b2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464</Words>
  <Characters>2877</Characters>
  <Application>Microsoft Office Word</Application>
  <DocSecurity>0</DocSecurity>
  <Lines>79</Lines>
  <Paragraphs>39</Paragraphs>
  <ScaleCrop>false</ScaleCrop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Meyer, Katelyn B (EHS)</dc:creator>
  <cp:keywords/>
  <dc:description/>
  <cp:lastModifiedBy>Morava, Yrielda</cp:lastModifiedBy>
  <cp:revision>15</cp:revision>
  <cp:lastPrinted>2026-02-04T13:19:00Z</cp:lastPrinted>
  <dcterms:created xsi:type="dcterms:W3CDTF">2026-01-22T19:52:00Z</dcterms:created>
  <dcterms:modified xsi:type="dcterms:W3CDTF">2026-02-04T13:20:00Z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0x010100C20948B3CF23A144A486E4E782C08A15</vt:lpwstr>
  </property>
  <property fmtid="{D5CDD505-2E9C-101B-9397-08002B2CF9AE}" pid="3" name="MediaServiceImageTags">
    <vt:lpwstr/>
  </property>
</Properties>
</file>