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61B72E" w14:textId="216D1212" w:rsidR="611F1BAA" w:rsidRDefault="611F1BAA" w:rsidP="7A5BE200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</w:rPr>
      </w:pPr>
      <w:r w:rsidRPr="7A5BE200">
        <w:rPr>
          <w:rFonts w:ascii="Times New Roman" w:eastAsia="Times New Roman" w:hAnsi="Times New Roman" w:cs="Times New Roman"/>
          <w:b/>
          <w:bCs/>
          <w:color w:val="000000" w:themeColor="text1"/>
        </w:rPr>
        <w:t>Changes to Health Safety Net Pharmacy Coverage</w:t>
      </w:r>
      <w:r w:rsidR="009A1053">
        <w:rPr>
          <w:rFonts w:ascii="Times New Roman" w:eastAsia="Times New Roman" w:hAnsi="Times New Roman" w:cs="Times New Roman"/>
          <w:b/>
          <w:bCs/>
          <w:color w:val="000000" w:themeColor="text1"/>
        </w:rPr>
        <w:t>—</w:t>
      </w:r>
      <w:r w:rsidRPr="7A5BE200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Effective </w:t>
      </w:r>
      <w:r w:rsidR="009A1053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January 12, </w:t>
      </w:r>
      <w:r w:rsidRPr="7A5BE200">
        <w:rPr>
          <w:rFonts w:ascii="Times New Roman" w:eastAsia="Times New Roman" w:hAnsi="Times New Roman" w:cs="Times New Roman"/>
          <w:b/>
          <w:bCs/>
          <w:color w:val="000000" w:themeColor="text1"/>
        </w:rPr>
        <w:t>2026</w:t>
      </w:r>
      <w:r>
        <w:tab/>
      </w:r>
    </w:p>
    <w:p w14:paraId="17F6FA24" w14:textId="2B79B753" w:rsidR="611F1BAA" w:rsidRDefault="611F1BAA" w:rsidP="7A5BE200">
      <w:pPr>
        <w:spacing w:after="0" w:line="276" w:lineRule="auto"/>
      </w:pPr>
      <w:r w:rsidRPr="7A5BE200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18B71DAD" w14:textId="1A7EC092" w:rsidR="611F1BAA" w:rsidRDefault="611F1BAA" w:rsidP="7A5BE200">
      <w:pPr>
        <w:spacing w:after="0" w:line="276" w:lineRule="auto"/>
      </w:pPr>
      <w:r w:rsidRPr="069A89F6">
        <w:rPr>
          <w:rFonts w:ascii="Times New Roman" w:eastAsia="Times New Roman" w:hAnsi="Times New Roman" w:cs="Times New Roman"/>
          <w:color w:val="000000" w:themeColor="text1"/>
        </w:rPr>
        <w:t xml:space="preserve">The Health Safety Net (HSN) is changing the management of </w:t>
      </w:r>
      <w:proofErr w:type="gramStart"/>
      <w:r w:rsidRPr="069A89F6">
        <w:rPr>
          <w:rFonts w:ascii="Times New Roman" w:eastAsia="Times New Roman" w:hAnsi="Times New Roman" w:cs="Times New Roman"/>
          <w:color w:val="000000" w:themeColor="text1"/>
        </w:rPr>
        <w:t>the HSN</w:t>
      </w:r>
      <w:proofErr w:type="gramEnd"/>
      <w:r w:rsidRPr="069A89F6">
        <w:rPr>
          <w:rFonts w:ascii="Times New Roman" w:eastAsia="Times New Roman" w:hAnsi="Times New Roman" w:cs="Times New Roman"/>
          <w:color w:val="000000" w:themeColor="text1"/>
        </w:rPr>
        <w:t xml:space="preserve"> formulary, effective January 12, 2026. Historically, HSN pharmacy coverage has largely matched the MassHealth formulary as listed on the </w:t>
      </w:r>
      <w:hyperlink r:id="rId10">
        <w:r w:rsidRPr="069A89F6">
          <w:rPr>
            <w:rStyle w:val="Hyperlink"/>
            <w:rFonts w:ascii="Times New Roman" w:eastAsia="Times New Roman" w:hAnsi="Times New Roman" w:cs="Times New Roman"/>
          </w:rPr>
          <w:t>MassHealth Drug List (MHDL).</w:t>
        </w:r>
      </w:hyperlink>
      <w:r w:rsidRPr="069A89F6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79F8CD10" w14:textId="57FE0421" w:rsidR="611F1BAA" w:rsidRDefault="611F1BAA" w:rsidP="7A5BE200">
      <w:pPr>
        <w:spacing w:after="0" w:line="276" w:lineRule="auto"/>
        <w:ind w:left="720"/>
      </w:pPr>
      <w:r w:rsidRPr="7A5BE200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tbl>
      <w:tblPr>
        <w:tblStyle w:val="TableGrid"/>
        <w:tblW w:w="0" w:type="auto"/>
        <w:tblBorders>
          <w:top w:val="none" w:sz="12" w:space="0" w:color="000000" w:themeColor="text1"/>
          <w:left w:val="none" w:sz="12" w:space="0" w:color="000000" w:themeColor="text1"/>
          <w:bottom w:val="none" w:sz="12" w:space="0" w:color="000000" w:themeColor="text1"/>
          <w:right w:val="none" w:sz="12" w:space="0" w:color="000000" w:themeColor="text1"/>
          <w:insideH w:val="none" w:sz="12" w:space="0" w:color="000000" w:themeColor="text1"/>
          <w:insideV w:val="none" w:sz="12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9180"/>
      </w:tblGrid>
      <w:tr w:rsidR="7A5BE200" w14:paraId="2B882E25" w14:textId="77777777" w:rsidTr="270346B1">
        <w:trPr>
          <w:trHeight w:val="6165"/>
        </w:trPr>
        <w:tc>
          <w:tcPr>
            <w:tcW w:w="9180" w:type="dxa"/>
            <w:tcMar>
              <w:left w:w="108" w:type="dxa"/>
              <w:right w:w="108" w:type="dxa"/>
            </w:tcMar>
          </w:tcPr>
          <w:p w14:paraId="7E9CA9E5" w14:textId="769C0348" w:rsidR="7A5BE200" w:rsidRDefault="7A5BE200" w:rsidP="7A5BE200">
            <w:pPr>
              <w:spacing w:line="276" w:lineRule="auto"/>
            </w:pPr>
            <w:r w:rsidRPr="7A5BE200">
              <w:rPr>
                <w:rFonts w:ascii="Times New Roman" w:eastAsia="Times New Roman" w:hAnsi="Times New Roman" w:cs="Times New Roman"/>
                <w:color w:val="000000" w:themeColor="text1"/>
                <w:u w:val="single"/>
              </w:rPr>
              <w:t>The following key changes are effective January 12, 2026</w:t>
            </w:r>
            <w:r w:rsidR="009A1053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. </w:t>
            </w:r>
          </w:p>
          <w:p w14:paraId="07CE8483" w14:textId="5A36D19F" w:rsidR="7A5BE200" w:rsidRDefault="7A5BE200" w:rsidP="7A5BE200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7A5BE200">
              <w:rPr>
                <w:rFonts w:ascii="Times New Roman" w:eastAsia="Times New Roman" w:hAnsi="Times New Roman" w:cs="Times New Roman"/>
                <w:color w:val="000000" w:themeColor="text1"/>
              </w:rPr>
              <w:t>HSN will generally cover the following without prior authorization (PA)</w:t>
            </w:r>
            <w:r w:rsidR="009A1053">
              <w:rPr>
                <w:rFonts w:ascii="Times New Roman" w:eastAsia="Times New Roman" w:hAnsi="Times New Roman" w:cs="Times New Roman"/>
                <w:color w:val="000000" w:themeColor="text1"/>
              </w:rPr>
              <w:t>.</w:t>
            </w:r>
          </w:p>
          <w:p w14:paraId="2807F88D" w14:textId="0E051E8A" w:rsidR="7A5BE200" w:rsidRDefault="7A5BE200" w:rsidP="7A5BE200">
            <w:pPr>
              <w:pStyle w:val="ListParagraph"/>
              <w:numPr>
                <w:ilvl w:val="0"/>
                <w:numId w:val="2"/>
              </w:numPr>
              <w:spacing w:line="276" w:lineRule="auto"/>
              <w:ind w:left="1440"/>
              <w:rPr>
                <w:rFonts w:ascii="Aptos" w:eastAsia="Aptos" w:hAnsi="Aptos" w:cs="Aptos"/>
              </w:rPr>
            </w:pPr>
            <w:r w:rsidRPr="7A5BE200">
              <w:rPr>
                <w:rFonts w:ascii="Times New Roman" w:eastAsia="Times New Roman" w:hAnsi="Times New Roman" w:cs="Times New Roman"/>
                <w:color w:val="000000" w:themeColor="text1"/>
              </w:rPr>
              <w:t>Generic medications (including unbranded biosimilars)</w:t>
            </w:r>
            <w:r w:rsidRPr="7A5BE200">
              <w:rPr>
                <w:rFonts w:ascii="Aptos" w:eastAsia="Aptos" w:hAnsi="Aptos" w:cs="Aptos"/>
              </w:rPr>
              <w:t xml:space="preserve"> </w:t>
            </w:r>
          </w:p>
          <w:p w14:paraId="58F16061" w14:textId="4F4FAD95" w:rsidR="7A5BE200" w:rsidRDefault="6A47DC6D" w:rsidP="7A5BE200">
            <w:pPr>
              <w:pStyle w:val="ListParagraph"/>
              <w:numPr>
                <w:ilvl w:val="0"/>
                <w:numId w:val="2"/>
              </w:numPr>
              <w:spacing w:line="276" w:lineRule="auto"/>
              <w:ind w:left="1440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64FA50E6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Brand </w:t>
            </w:r>
            <w:r w:rsidR="567D927D" w:rsidRPr="64FA50E6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name </w:t>
            </w:r>
            <w:r w:rsidRPr="64FA50E6">
              <w:rPr>
                <w:rFonts w:ascii="Times New Roman" w:eastAsia="Times New Roman" w:hAnsi="Times New Roman" w:cs="Times New Roman"/>
                <w:color w:val="000000" w:themeColor="text1"/>
              </w:rPr>
              <w:t>medications on the MassHealth brand-over generic list (BOGL)*</w:t>
            </w:r>
          </w:p>
          <w:p w14:paraId="67D678A1" w14:textId="2FE44F0F" w:rsidR="7A5BE200" w:rsidRDefault="09310A91" w:rsidP="7A5BE200">
            <w:pPr>
              <w:pStyle w:val="ListParagraph"/>
              <w:numPr>
                <w:ilvl w:val="0"/>
                <w:numId w:val="2"/>
              </w:numPr>
              <w:spacing w:line="276" w:lineRule="auto"/>
              <w:ind w:left="1440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64FA50E6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Select </w:t>
            </w:r>
            <w:r w:rsidR="6A47DC6D" w:rsidRPr="64FA50E6">
              <w:rPr>
                <w:rFonts w:ascii="Times New Roman" w:eastAsia="Times New Roman" w:hAnsi="Times New Roman" w:cs="Times New Roman"/>
                <w:color w:val="000000" w:themeColor="text1"/>
              </w:rPr>
              <w:t>non-drug products (</w:t>
            </w:r>
            <w:r w:rsidR="0B1009BE" w:rsidRPr="64FA50E6">
              <w:rPr>
                <w:rFonts w:ascii="Times New Roman" w:eastAsia="Times New Roman" w:hAnsi="Times New Roman" w:cs="Times New Roman"/>
                <w:color w:val="000000" w:themeColor="text1"/>
              </w:rPr>
              <w:t>i.e.</w:t>
            </w:r>
            <w:r w:rsidR="6A47DC6D" w:rsidRPr="64FA50E6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, </w:t>
            </w:r>
            <w:r w:rsidR="3617B83B" w:rsidRPr="64FA50E6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alcohol swabs, ketone test strips, </w:t>
            </w:r>
            <w:r w:rsidR="6A47DC6D" w:rsidRPr="64FA50E6">
              <w:rPr>
                <w:rFonts w:ascii="Times New Roman" w:eastAsia="Times New Roman" w:hAnsi="Times New Roman" w:cs="Times New Roman"/>
                <w:color w:val="000000" w:themeColor="text1"/>
              </w:rPr>
              <w:t>lancets,</w:t>
            </w:r>
            <w:r w:rsidR="11751BE1" w:rsidRPr="64FA50E6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 pen needles, syringes, urine glucose test strips</w:t>
            </w:r>
            <w:r w:rsidR="6A47DC6D" w:rsidRPr="64FA50E6">
              <w:rPr>
                <w:rFonts w:ascii="Times New Roman" w:eastAsia="Times New Roman" w:hAnsi="Times New Roman" w:cs="Times New Roman"/>
                <w:color w:val="000000" w:themeColor="text1"/>
              </w:rPr>
              <w:t>)</w:t>
            </w:r>
          </w:p>
          <w:p w14:paraId="347C57D7" w14:textId="02F9B6E8" w:rsidR="7A5BE200" w:rsidRDefault="7A5BE200" w:rsidP="7A5BE200">
            <w:pPr>
              <w:pStyle w:val="ListParagraph"/>
              <w:numPr>
                <w:ilvl w:val="0"/>
                <w:numId w:val="2"/>
              </w:numPr>
              <w:spacing w:line="276" w:lineRule="auto"/>
              <w:ind w:left="1440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7A5BE200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Preferred diabetes test strips within quantity limits </w:t>
            </w:r>
          </w:p>
          <w:p w14:paraId="12667253" w14:textId="2E8FF5E0" w:rsidR="7A5BE200" w:rsidRDefault="7A5BE200" w:rsidP="7A5BE200">
            <w:pPr>
              <w:pStyle w:val="ListParagraph"/>
              <w:numPr>
                <w:ilvl w:val="0"/>
                <w:numId w:val="2"/>
              </w:numPr>
              <w:spacing w:line="276" w:lineRule="auto"/>
              <w:ind w:left="1440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7A5BE200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Vaccines </w:t>
            </w:r>
          </w:p>
          <w:p w14:paraId="715DD531" w14:textId="0BFDFC51" w:rsidR="7A5BE200" w:rsidRDefault="11B24FCD" w:rsidP="7A5BE200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69A89F6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Existing PAs for medications will be terminated, effective </w:t>
            </w:r>
            <w:r w:rsidR="60166080" w:rsidRPr="069A89F6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January 12, 2026. </w:t>
            </w:r>
          </w:p>
          <w:p w14:paraId="2B106749" w14:textId="0414B355" w:rsidR="7A5BE200" w:rsidRDefault="7A5BE200" w:rsidP="7A5BE200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7A5BE200">
              <w:rPr>
                <w:rFonts w:ascii="Times New Roman" w:eastAsia="Times New Roman" w:hAnsi="Times New Roman" w:cs="Times New Roman"/>
                <w:color w:val="000000" w:themeColor="text1"/>
              </w:rPr>
              <w:t>HSN will require PA for the following</w:t>
            </w:r>
            <w:r w:rsidR="009A1053">
              <w:rPr>
                <w:rFonts w:ascii="Times New Roman" w:eastAsia="Times New Roman" w:hAnsi="Times New Roman" w:cs="Times New Roman"/>
                <w:color w:val="000000" w:themeColor="text1"/>
              </w:rPr>
              <w:t>.</w:t>
            </w:r>
          </w:p>
          <w:p w14:paraId="1DCBF8F8" w14:textId="55DF7D3C" w:rsidR="7A5BE200" w:rsidRDefault="7A5BE200" w:rsidP="7A5BE200">
            <w:pPr>
              <w:pStyle w:val="ListParagraph"/>
              <w:numPr>
                <w:ilvl w:val="1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7A5BE200">
              <w:rPr>
                <w:rFonts w:ascii="Times New Roman" w:eastAsia="Times New Roman" w:hAnsi="Times New Roman" w:cs="Times New Roman"/>
              </w:rPr>
              <w:t>Preferred non-drug products</w:t>
            </w:r>
            <w:r w:rsidRPr="7A5BE200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 (e.g., continuous glucose monitors, continuous subcutaneous insulin infusion devices) </w:t>
            </w:r>
          </w:p>
          <w:p w14:paraId="20543628" w14:textId="7C324011" w:rsidR="7A5BE200" w:rsidRDefault="11B24FCD" w:rsidP="069A89F6">
            <w:pPr>
              <w:pStyle w:val="ListParagraph"/>
              <w:numPr>
                <w:ilvl w:val="1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69A89F6">
              <w:rPr>
                <w:rFonts w:ascii="Times New Roman" w:eastAsia="Times New Roman" w:hAnsi="Times New Roman" w:cs="Times New Roman"/>
              </w:rPr>
              <w:t>Brand medications not listed on the MassHealth BOGL</w:t>
            </w:r>
          </w:p>
          <w:p w14:paraId="56773CC7" w14:textId="687DD0E4" w:rsidR="2FC5AB35" w:rsidRDefault="2FC5AB35" w:rsidP="069A89F6">
            <w:pPr>
              <w:pStyle w:val="ListParagraph"/>
              <w:numPr>
                <w:ilvl w:val="1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</w:rPr>
            </w:pPr>
            <w:r w:rsidRPr="270346B1">
              <w:rPr>
                <w:rFonts w:ascii="Times New Roman" w:eastAsia="Times New Roman" w:hAnsi="Times New Roman" w:cs="Times New Roman"/>
              </w:rPr>
              <w:t>Other medications</w:t>
            </w:r>
            <w:r w:rsidR="009A1053">
              <w:rPr>
                <w:rFonts w:ascii="Times New Roman" w:eastAsia="Times New Roman" w:hAnsi="Times New Roman" w:cs="Times New Roman"/>
              </w:rPr>
              <w:t>,</w:t>
            </w:r>
            <w:r w:rsidRPr="270346B1">
              <w:rPr>
                <w:rFonts w:ascii="Times New Roman" w:eastAsia="Times New Roman" w:hAnsi="Times New Roman" w:cs="Times New Roman"/>
              </w:rPr>
              <w:t xml:space="preserve"> when clinically necessary </w:t>
            </w:r>
          </w:p>
          <w:p w14:paraId="13F919D0" w14:textId="68A9F385" w:rsidR="7A5BE200" w:rsidRDefault="11B24FCD" w:rsidP="7A5BE200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069A89F6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HSN will enforce cost-avoidance at the </w:t>
            </w:r>
            <w:r w:rsidR="79625C9B" w:rsidRPr="069A89F6">
              <w:rPr>
                <w:rFonts w:ascii="Times New Roman" w:eastAsia="Times New Roman" w:hAnsi="Times New Roman" w:cs="Times New Roman"/>
                <w:color w:val="000000" w:themeColor="text1"/>
              </w:rPr>
              <w:t>point</w:t>
            </w:r>
            <w:r w:rsidR="009A1053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 </w:t>
            </w:r>
            <w:r w:rsidR="79625C9B" w:rsidRPr="069A89F6">
              <w:rPr>
                <w:rFonts w:ascii="Times New Roman" w:eastAsia="Times New Roman" w:hAnsi="Times New Roman" w:cs="Times New Roman"/>
                <w:color w:val="000000" w:themeColor="text1"/>
              </w:rPr>
              <w:t>of</w:t>
            </w:r>
            <w:r w:rsidR="009A1053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 </w:t>
            </w:r>
            <w:r w:rsidR="79625C9B" w:rsidRPr="069A89F6">
              <w:rPr>
                <w:rFonts w:ascii="Times New Roman" w:eastAsia="Times New Roman" w:hAnsi="Times New Roman" w:cs="Times New Roman"/>
                <w:color w:val="000000" w:themeColor="text1"/>
              </w:rPr>
              <w:t>sale</w:t>
            </w:r>
            <w:r w:rsidRPr="069A89F6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 for patients with other insurance coverage to ensure</w:t>
            </w:r>
            <w:r w:rsidR="009A1053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 that </w:t>
            </w:r>
            <w:r w:rsidRPr="069A89F6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HSN is the payer of last resort. </w:t>
            </w:r>
          </w:p>
          <w:p w14:paraId="7765BB6B" w14:textId="260553F9" w:rsidR="7A5BE200" w:rsidRDefault="7A5BE200" w:rsidP="7A5BE200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7A5BE200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Emergency overrides will be limited to a 72-hour supply of medication. Vacation overrides will no longer be available. </w:t>
            </w:r>
          </w:p>
        </w:tc>
      </w:tr>
      <w:tr w:rsidR="7A5BE200" w14:paraId="7E77F604" w14:textId="77777777" w:rsidTr="270346B1">
        <w:trPr>
          <w:trHeight w:val="300"/>
        </w:trPr>
        <w:tc>
          <w:tcPr>
            <w:tcW w:w="9180" w:type="dxa"/>
            <w:tcMar>
              <w:left w:w="108" w:type="dxa"/>
              <w:right w:w="108" w:type="dxa"/>
            </w:tcMar>
          </w:tcPr>
          <w:p w14:paraId="5941E942" w14:textId="2EBC2890" w:rsidR="7A5BE200" w:rsidRDefault="11B24FCD" w:rsidP="7A5BE200">
            <w:pPr>
              <w:spacing w:line="276" w:lineRule="auto"/>
            </w:pPr>
            <w:r w:rsidRPr="069A89F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*Exceptions </w:t>
            </w:r>
            <w:proofErr w:type="gramStart"/>
            <w:r w:rsidRPr="069A89F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apply</w:t>
            </w:r>
            <w:r w:rsidR="1C6E3F6C" w:rsidRPr="069A89F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:</w:t>
            </w:r>
            <w:proofErr w:type="gramEnd"/>
            <w:r w:rsidRPr="069A89F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 brand Suboxone (buprenorphine/naloxone) requires </w:t>
            </w:r>
            <w:r w:rsidR="009A105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PA</w:t>
            </w:r>
            <w:r w:rsidRPr="069A89F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 for HSN patients, while generic buprenorphine/naloxone tablets and films are available without PA. </w:t>
            </w:r>
          </w:p>
        </w:tc>
      </w:tr>
    </w:tbl>
    <w:p w14:paraId="51AF9B76" w14:textId="2F189D97" w:rsidR="611F1BAA" w:rsidRDefault="611F1BAA" w:rsidP="7A5BE200">
      <w:pPr>
        <w:spacing w:after="0" w:line="276" w:lineRule="auto"/>
      </w:pPr>
      <w:r w:rsidRPr="7A5BE200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62CCF7D8" w14:textId="4C5E6BA7" w:rsidR="611F1BAA" w:rsidRDefault="0CC38296" w:rsidP="7A5BE200">
      <w:pPr>
        <w:spacing w:after="0" w:line="276" w:lineRule="auto"/>
      </w:pPr>
      <w:r w:rsidRPr="64FA50E6">
        <w:rPr>
          <w:rFonts w:ascii="Times New Roman" w:eastAsia="Times New Roman" w:hAnsi="Times New Roman" w:cs="Times New Roman"/>
          <w:color w:val="000000" w:themeColor="text1"/>
        </w:rPr>
        <w:t xml:space="preserve">Please note that </w:t>
      </w:r>
      <w:r w:rsidRPr="64FA50E6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HSN is not insurance. </w:t>
      </w:r>
      <w:r w:rsidRPr="64FA50E6">
        <w:rPr>
          <w:rFonts w:ascii="Times New Roman" w:eastAsia="Times New Roman" w:hAnsi="Times New Roman" w:cs="Times New Roman"/>
          <w:color w:val="000000" w:themeColor="text1"/>
        </w:rPr>
        <w:t>Uninsured or underinsured HSN patients may be eligible to receive brand medications through manufacturer patient</w:t>
      </w:r>
      <w:r w:rsidR="009A1053">
        <w:rPr>
          <w:rFonts w:ascii="Times New Roman" w:eastAsia="Times New Roman" w:hAnsi="Times New Roman" w:cs="Times New Roman"/>
          <w:color w:val="000000" w:themeColor="text1"/>
        </w:rPr>
        <w:t>-</w:t>
      </w:r>
      <w:r w:rsidRPr="64FA50E6">
        <w:rPr>
          <w:rFonts w:ascii="Times New Roman" w:eastAsia="Times New Roman" w:hAnsi="Times New Roman" w:cs="Times New Roman"/>
          <w:color w:val="000000" w:themeColor="text1"/>
        </w:rPr>
        <w:t xml:space="preserve">assistance programs, if available. Please </w:t>
      </w:r>
      <w:r w:rsidR="5798EFFF" w:rsidRPr="64FA50E6">
        <w:rPr>
          <w:rFonts w:ascii="Times New Roman" w:eastAsia="Times New Roman" w:hAnsi="Times New Roman" w:cs="Times New Roman"/>
          <w:color w:val="000000" w:themeColor="text1"/>
        </w:rPr>
        <w:t xml:space="preserve">see the </w:t>
      </w:r>
      <w:hyperlink r:id="rId11">
        <w:r w:rsidR="007232B4" w:rsidRPr="64FA50E6">
          <w:rPr>
            <w:rStyle w:val="Hyperlink"/>
            <w:rFonts w:ascii="Times New Roman" w:eastAsia="Times New Roman" w:hAnsi="Times New Roman" w:cs="Times New Roman"/>
          </w:rPr>
          <w:t>MassHealth Drug List</w:t>
        </w:r>
      </w:hyperlink>
      <w:r w:rsidR="007232B4" w:rsidRPr="00CF1717">
        <w:rPr>
          <w:rStyle w:val="Hyperlink"/>
          <w:rFonts w:ascii="Times New Roman" w:eastAsia="Times New Roman" w:hAnsi="Times New Roman" w:cs="Times New Roman"/>
        </w:rPr>
        <w:t>’s</w:t>
      </w:r>
      <w:r w:rsidR="007232B4" w:rsidDel="007232B4">
        <w:t xml:space="preserve"> </w:t>
      </w:r>
      <w:r w:rsidR="5798EFFF" w:rsidRPr="00BC14FE">
        <w:rPr>
          <w:rFonts w:ascii="Times New Roman" w:eastAsia="Times New Roman" w:hAnsi="Times New Roman" w:cs="Times New Roman"/>
          <w:b/>
          <w:bCs/>
          <w:color w:val="000000" w:themeColor="text1"/>
        </w:rPr>
        <w:t>Upcoming HSN Formulary Changes</w:t>
      </w:r>
      <w:r w:rsidR="5798EFFF" w:rsidRPr="64FA50E6">
        <w:rPr>
          <w:rFonts w:ascii="Times New Roman" w:eastAsia="Times New Roman" w:hAnsi="Times New Roman" w:cs="Times New Roman"/>
          <w:color w:val="000000" w:themeColor="text1"/>
        </w:rPr>
        <w:t xml:space="preserve"> page</w:t>
      </w:r>
      <w:r w:rsidRPr="64FA50E6">
        <w:rPr>
          <w:rFonts w:ascii="Times New Roman" w:eastAsia="Times New Roman" w:hAnsi="Times New Roman" w:cs="Times New Roman"/>
          <w:color w:val="000000" w:themeColor="text1"/>
        </w:rPr>
        <w:t xml:space="preserve"> for more information on patient</w:t>
      </w:r>
      <w:r w:rsidR="009A1053">
        <w:rPr>
          <w:rFonts w:ascii="Times New Roman" w:eastAsia="Times New Roman" w:hAnsi="Times New Roman" w:cs="Times New Roman"/>
          <w:color w:val="000000" w:themeColor="text1"/>
        </w:rPr>
        <w:t>-</w:t>
      </w:r>
      <w:r w:rsidRPr="64FA50E6">
        <w:rPr>
          <w:rFonts w:ascii="Times New Roman" w:eastAsia="Times New Roman" w:hAnsi="Times New Roman" w:cs="Times New Roman"/>
          <w:color w:val="000000" w:themeColor="text1"/>
        </w:rPr>
        <w:t xml:space="preserve">assistance programs. </w:t>
      </w:r>
    </w:p>
    <w:p w14:paraId="6221C5CE" w14:textId="2047818E" w:rsidR="611F1BAA" w:rsidRDefault="611F1BAA" w:rsidP="7A5BE200">
      <w:pPr>
        <w:spacing w:after="0" w:line="276" w:lineRule="auto"/>
      </w:pPr>
      <w:r w:rsidRPr="7A5BE200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795C0D1C" w14:textId="3C3D3879" w:rsidR="611F1BAA" w:rsidRDefault="4F94632B" w:rsidP="7A5BE200">
      <w:pPr>
        <w:spacing w:after="0" w:line="276" w:lineRule="auto"/>
      </w:pPr>
      <w:r w:rsidRPr="069A89F6">
        <w:rPr>
          <w:rFonts w:ascii="Times New Roman" w:eastAsia="Times New Roman" w:hAnsi="Times New Roman" w:cs="Times New Roman"/>
          <w:color w:val="000000" w:themeColor="text1"/>
        </w:rPr>
        <w:t>R</w:t>
      </w:r>
      <w:r w:rsidR="0CC38296" w:rsidRPr="069A89F6">
        <w:rPr>
          <w:rFonts w:ascii="Times New Roman" w:eastAsia="Times New Roman" w:hAnsi="Times New Roman" w:cs="Times New Roman"/>
          <w:color w:val="000000" w:themeColor="text1"/>
        </w:rPr>
        <w:t>equests for brand medications not on the BOGL will generally be evaluated for appropriate diagnosis</w:t>
      </w:r>
      <w:r w:rsidR="007232B4">
        <w:rPr>
          <w:rFonts w:ascii="Times New Roman" w:eastAsia="Times New Roman" w:hAnsi="Times New Roman" w:cs="Times New Roman"/>
          <w:color w:val="000000" w:themeColor="text1"/>
        </w:rPr>
        <w:t>;</w:t>
      </w:r>
      <w:r w:rsidR="007232B4" w:rsidRPr="069A89F6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0CC38296" w:rsidRPr="069A89F6">
        <w:rPr>
          <w:rFonts w:ascii="Times New Roman" w:eastAsia="Times New Roman" w:hAnsi="Times New Roman" w:cs="Times New Roman"/>
          <w:color w:val="000000" w:themeColor="text1"/>
        </w:rPr>
        <w:t>trial(s) with all clinically appropriate generic and BOGL alternatives</w:t>
      </w:r>
      <w:r w:rsidR="007232B4">
        <w:rPr>
          <w:rFonts w:ascii="Times New Roman" w:eastAsia="Times New Roman" w:hAnsi="Times New Roman" w:cs="Times New Roman"/>
          <w:color w:val="000000" w:themeColor="text1"/>
        </w:rPr>
        <w:t>;</w:t>
      </w:r>
      <w:r w:rsidR="007232B4" w:rsidRPr="069A89F6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0CC38296" w:rsidRPr="069A89F6">
        <w:rPr>
          <w:rFonts w:ascii="Times New Roman" w:eastAsia="Times New Roman" w:hAnsi="Times New Roman" w:cs="Times New Roman"/>
          <w:color w:val="000000" w:themeColor="text1"/>
        </w:rPr>
        <w:t>medical necessity</w:t>
      </w:r>
      <w:r w:rsidR="007232B4">
        <w:rPr>
          <w:rFonts w:ascii="Times New Roman" w:eastAsia="Times New Roman" w:hAnsi="Times New Roman" w:cs="Times New Roman"/>
          <w:color w:val="000000" w:themeColor="text1"/>
        </w:rPr>
        <w:t>;</w:t>
      </w:r>
      <w:r w:rsidR="0CC38296" w:rsidRPr="069A89F6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 </w:t>
      </w:r>
      <w:r w:rsidR="0CC38296" w:rsidRPr="069A89F6">
        <w:rPr>
          <w:rFonts w:ascii="Times New Roman" w:eastAsia="Times New Roman" w:hAnsi="Times New Roman" w:cs="Times New Roman"/>
          <w:color w:val="000000" w:themeColor="text1"/>
        </w:rPr>
        <w:t>and documentation of application to manufacturer patient</w:t>
      </w:r>
      <w:r w:rsidR="009A1053">
        <w:rPr>
          <w:rFonts w:ascii="Times New Roman" w:eastAsia="Times New Roman" w:hAnsi="Times New Roman" w:cs="Times New Roman"/>
          <w:color w:val="000000" w:themeColor="text1"/>
        </w:rPr>
        <w:t>-</w:t>
      </w:r>
      <w:r w:rsidR="0CC38296" w:rsidRPr="069A89F6">
        <w:rPr>
          <w:rFonts w:ascii="Times New Roman" w:eastAsia="Times New Roman" w:hAnsi="Times New Roman" w:cs="Times New Roman"/>
          <w:color w:val="000000" w:themeColor="text1"/>
        </w:rPr>
        <w:t xml:space="preserve">assistance program (if available). </w:t>
      </w:r>
    </w:p>
    <w:p w14:paraId="21708342" w14:textId="6D5AEDF2" w:rsidR="64FA50E6" w:rsidRDefault="007232B4" w:rsidP="64FA50E6">
      <w:pPr>
        <w:spacing w:after="0" w:line="276" w:lineRule="auto"/>
        <w:rPr>
          <w:rFonts w:ascii="Times New Roman" w:eastAsia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5B1E3AB2" w14:textId="44276614" w:rsidR="611F1BAA" w:rsidRDefault="611F1BAA" w:rsidP="7A5BE200">
      <w:pPr>
        <w:spacing w:after="0" w:line="276" w:lineRule="auto"/>
        <w:rPr>
          <w:rFonts w:ascii="Times New Roman" w:eastAsia="Times New Roman" w:hAnsi="Times New Roman" w:cs="Times New Roman"/>
          <w:color w:val="000000" w:themeColor="text1"/>
        </w:rPr>
      </w:pPr>
      <w:r w:rsidRPr="7A5BE200">
        <w:rPr>
          <w:rFonts w:ascii="Times New Roman" w:eastAsia="Times New Roman" w:hAnsi="Times New Roman" w:cs="Times New Roman"/>
          <w:color w:val="000000" w:themeColor="text1"/>
        </w:rPr>
        <w:lastRenderedPageBreak/>
        <w:t>Providers should work with patients to transition to covered therapies or access via a manufacturer patient</w:t>
      </w:r>
      <w:r w:rsidR="009A1053">
        <w:rPr>
          <w:rFonts w:ascii="Times New Roman" w:eastAsia="Times New Roman" w:hAnsi="Times New Roman" w:cs="Times New Roman"/>
          <w:color w:val="000000" w:themeColor="text1"/>
        </w:rPr>
        <w:t>-</w:t>
      </w:r>
      <w:r w:rsidRPr="7A5BE200">
        <w:rPr>
          <w:rFonts w:ascii="Times New Roman" w:eastAsia="Times New Roman" w:hAnsi="Times New Roman" w:cs="Times New Roman"/>
          <w:color w:val="000000" w:themeColor="text1"/>
        </w:rPr>
        <w:t>assistance program</w:t>
      </w:r>
      <w:r w:rsidR="009A1053">
        <w:rPr>
          <w:rFonts w:ascii="Times New Roman" w:eastAsia="Times New Roman" w:hAnsi="Times New Roman" w:cs="Times New Roman"/>
          <w:color w:val="000000" w:themeColor="text1"/>
        </w:rPr>
        <w:t>,</w:t>
      </w:r>
      <w:r w:rsidRPr="7A5BE200">
        <w:rPr>
          <w:rFonts w:ascii="Times New Roman" w:eastAsia="Times New Roman" w:hAnsi="Times New Roman" w:cs="Times New Roman"/>
          <w:color w:val="000000" w:themeColor="text1"/>
        </w:rPr>
        <w:t xml:space="preserve"> where appropriate. Providers are encouraged to do so ahead of the upcoming HSN formulary change.    </w:t>
      </w:r>
    </w:p>
    <w:p w14:paraId="33038203" w14:textId="7D0FFE06" w:rsidR="7A5BE200" w:rsidRDefault="7A5BE200" w:rsidP="7A5BE200">
      <w:pPr>
        <w:spacing w:after="0" w:line="276" w:lineRule="auto"/>
        <w:rPr>
          <w:rFonts w:ascii="Times New Roman" w:eastAsia="Times New Roman" w:hAnsi="Times New Roman" w:cs="Times New Roman"/>
          <w:color w:val="000000" w:themeColor="text1"/>
        </w:rPr>
      </w:pPr>
    </w:p>
    <w:p w14:paraId="583F334B" w14:textId="5071E449" w:rsidR="7A5BE200" w:rsidRDefault="0CC38296" w:rsidP="0CA5D140">
      <w:pPr>
        <w:spacing w:after="0" w:line="276" w:lineRule="auto"/>
        <w:rPr>
          <w:rFonts w:ascii="Times New Roman" w:eastAsia="Times New Roman" w:hAnsi="Times New Roman" w:cs="Times New Roman"/>
          <w:color w:val="000000" w:themeColor="text1"/>
          <w:highlight w:val="yellow"/>
        </w:rPr>
      </w:pPr>
      <w:r w:rsidRPr="64FA50E6">
        <w:rPr>
          <w:rFonts w:ascii="Times New Roman" w:eastAsia="Times New Roman" w:hAnsi="Times New Roman" w:cs="Times New Roman"/>
          <w:color w:val="000000" w:themeColor="text1"/>
        </w:rPr>
        <w:t xml:space="preserve">A list of medications covered without PA is available for highly utilized </w:t>
      </w:r>
      <w:r w:rsidR="3A4380C8" w:rsidRPr="64FA50E6">
        <w:rPr>
          <w:rFonts w:ascii="Times New Roman" w:eastAsia="Times New Roman" w:hAnsi="Times New Roman" w:cs="Times New Roman"/>
          <w:color w:val="000000" w:themeColor="text1"/>
        </w:rPr>
        <w:t>therapeutic classe</w:t>
      </w:r>
      <w:r w:rsidRPr="64FA50E6">
        <w:rPr>
          <w:rFonts w:ascii="Times New Roman" w:eastAsia="Times New Roman" w:hAnsi="Times New Roman" w:cs="Times New Roman"/>
          <w:color w:val="000000" w:themeColor="text1"/>
        </w:rPr>
        <w:t>s</w:t>
      </w:r>
      <w:r w:rsidR="307C4102" w:rsidRPr="64FA50E6">
        <w:rPr>
          <w:rFonts w:ascii="Times New Roman" w:eastAsia="Times New Roman" w:hAnsi="Times New Roman" w:cs="Times New Roman"/>
          <w:color w:val="000000" w:themeColor="text1"/>
        </w:rPr>
        <w:t xml:space="preserve">. Please see the </w:t>
      </w:r>
      <w:hyperlink r:id="rId12">
        <w:r w:rsidR="307C4102" w:rsidRPr="64FA50E6">
          <w:rPr>
            <w:rStyle w:val="Hyperlink"/>
            <w:rFonts w:ascii="Times New Roman" w:eastAsia="Times New Roman" w:hAnsi="Times New Roman" w:cs="Times New Roman"/>
          </w:rPr>
          <w:t>MassHealth Drug List</w:t>
        </w:r>
      </w:hyperlink>
      <w:r w:rsidR="009A1053" w:rsidRPr="00BC14FE">
        <w:rPr>
          <w:rStyle w:val="Hyperlink"/>
          <w:rFonts w:ascii="Times New Roman" w:eastAsia="Times New Roman" w:hAnsi="Times New Roman" w:cs="Times New Roman"/>
        </w:rPr>
        <w:t>’s</w:t>
      </w:r>
      <w:r w:rsidR="307C4102" w:rsidRPr="64FA50E6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307C4102" w:rsidRPr="64FA50E6">
        <w:rPr>
          <w:rFonts w:ascii="Times New Roman" w:eastAsia="Times New Roman" w:hAnsi="Times New Roman" w:cs="Times New Roman"/>
          <w:b/>
          <w:bCs/>
          <w:color w:val="000000" w:themeColor="text1"/>
        </w:rPr>
        <w:t>Upcoming HSN Formulary Changes</w:t>
      </w:r>
      <w:r w:rsidR="307C4102" w:rsidRPr="64FA50E6">
        <w:rPr>
          <w:rFonts w:ascii="Times New Roman" w:eastAsia="Times New Roman" w:hAnsi="Times New Roman" w:cs="Times New Roman"/>
          <w:color w:val="000000" w:themeColor="text1"/>
        </w:rPr>
        <w:t xml:space="preserve"> page for more information. </w:t>
      </w:r>
      <w:r w:rsidRPr="64FA50E6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21F7A504" w14:textId="5207A876" w:rsidR="0CA5D140" w:rsidRDefault="0CA5D140" w:rsidP="0CA5D140">
      <w:pPr>
        <w:spacing w:after="0" w:line="276" w:lineRule="auto"/>
        <w:rPr>
          <w:rFonts w:ascii="Times New Roman" w:eastAsia="Times New Roman" w:hAnsi="Times New Roman" w:cs="Times New Roman"/>
          <w:color w:val="000000" w:themeColor="text1"/>
          <w:highlight w:val="yellow"/>
        </w:rPr>
      </w:pPr>
    </w:p>
    <w:p w14:paraId="1311DBAE" w14:textId="3683E23C" w:rsidR="611F1BAA" w:rsidRDefault="0CC38296" w:rsidP="069A89F6">
      <w:pPr>
        <w:spacing w:line="278" w:lineRule="auto"/>
        <w:rPr>
          <w:rFonts w:ascii="Times New Roman" w:eastAsia="Times New Roman" w:hAnsi="Times New Roman" w:cs="Times New Roman"/>
          <w:color w:val="000000" w:themeColor="text1"/>
        </w:rPr>
      </w:pPr>
      <w:r w:rsidRPr="069A89F6">
        <w:rPr>
          <w:rFonts w:ascii="Times New Roman" w:eastAsia="Times New Roman" w:hAnsi="Times New Roman" w:cs="Times New Roman"/>
          <w:color w:val="000000" w:themeColor="text1"/>
        </w:rPr>
        <w:t xml:space="preserve">Pharmacists and prescribers who have questions </w:t>
      </w:r>
      <w:r w:rsidR="007232B4">
        <w:rPr>
          <w:rFonts w:ascii="Times New Roman" w:eastAsia="Times New Roman" w:hAnsi="Times New Roman" w:cs="Times New Roman"/>
          <w:color w:val="000000" w:themeColor="text1"/>
        </w:rPr>
        <w:t>about</w:t>
      </w:r>
      <w:r w:rsidR="007232B4" w:rsidRPr="069A89F6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22B88FD2" w:rsidRPr="069A89F6">
        <w:rPr>
          <w:rFonts w:ascii="Times New Roman" w:eastAsia="Times New Roman" w:hAnsi="Times New Roman" w:cs="Times New Roman"/>
          <w:color w:val="000000" w:themeColor="text1"/>
        </w:rPr>
        <w:t xml:space="preserve">HSN </w:t>
      </w:r>
      <w:r w:rsidRPr="069A89F6">
        <w:rPr>
          <w:rFonts w:ascii="Times New Roman" w:eastAsia="Times New Roman" w:hAnsi="Times New Roman" w:cs="Times New Roman"/>
          <w:color w:val="000000" w:themeColor="text1"/>
        </w:rPr>
        <w:t xml:space="preserve">pharmacy coverage may contact the Drug Utilization Review Program at (800) 745-7318. </w:t>
      </w:r>
    </w:p>
    <w:p w14:paraId="3E285B75" w14:textId="7F7797CA" w:rsidR="611F1BAA" w:rsidRDefault="611F1BAA" w:rsidP="7A5BE200">
      <w:pPr>
        <w:spacing w:line="278" w:lineRule="auto"/>
      </w:pPr>
      <w:r w:rsidRPr="7A5BE200">
        <w:rPr>
          <w:rFonts w:ascii="Georgia" w:eastAsia="Georgia" w:hAnsi="Georgia" w:cs="Georgia"/>
          <w:color w:val="000000" w:themeColor="text1"/>
          <w:sz w:val="22"/>
          <w:szCs w:val="22"/>
        </w:rPr>
        <w:t xml:space="preserve"> </w:t>
      </w:r>
    </w:p>
    <w:p w14:paraId="45DE7020" w14:textId="75A872EE" w:rsidR="611F1BAA" w:rsidRDefault="611F1BAA" w:rsidP="7A5BE200">
      <w:pPr>
        <w:spacing w:line="278" w:lineRule="auto"/>
      </w:pPr>
      <w:r w:rsidRPr="7A5BE200">
        <w:rPr>
          <w:rFonts w:ascii="Georgia" w:eastAsia="Georgia" w:hAnsi="Georgia" w:cs="Georgia"/>
          <w:color w:val="000000" w:themeColor="text1"/>
          <w:sz w:val="22"/>
          <w:szCs w:val="22"/>
        </w:rPr>
        <w:t xml:space="preserve"> </w:t>
      </w:r>
    </w:p>
    <w:p w14:paraId="105458DC" w14:textId="61C43908" w:rsidR="7A5BE200" w:rsidRDefault="7A5BE200" w:rsidP="7A5BE200">
      <w:pPr>
        <w:spacing w:after="0"/>
      </w:pPr>
    </w:p>
    <w:p w14:paraId="1D81AC6B" w14:textId="625F9947" w:rsidR="7A5BE200" w:rsidRDefault="7A5BE200" w:rsidP="7A5BE200">
      <w:pPr>
        <w:rPr>
          <w:rFonts w:ascii="Times New Roman" w:eastAsia="Times New Roman" w:hAnsi="Times New Roman" w:cs="Times New Roman"/>
          <w:b/>
          <w:bCs/>
          <w:color w:val="000000" w:themeColor="text1"/>
        </w:rPr>
      </w:pPr>
    </w:p>
    <w:sectPr w:rsidR="7A5BE200" w:rsidSect="00F84DCE">
      <w:footerReference w:type="default" r:id="rId13"/>
      <w:footerReference w:type="first" r:id="rId14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6F682D" w14:textId="77777777" w:rsidR="002810D0" w:rsidRDefault="002810D0">
      <w:pPr>
        <w:spacing w:after="0" w:line="240" w:lineRule="auto"/>
      </w:pPr>
      <w:r>
        <w:separator/>
      </w:r>
    </w:p>
  </w:endnote>
  <w:endnote w:type="continuationSeparator" w:id="0">
    <w:p w14:paraId="5982627A" w14:textId="77777777" w:rsidR="002810D0" w:rsidRDefault="002810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&quot;Courier New&quot;">
    <w:altName w:val="Cambria"/>
    <w:panose1 w:val="00000000000000000000"/>
    <w:charset w:val="00"/>
    <w:family w:val="roman"/>
    <w:notTrueType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40E5DB5E" w14:paraId="0439186C" w14:textId="77777777" w:rsidTr="40E5DB5E">
      <w:trPr>
        <w:trHeight w:val="300"/>
      </w:trPr>
      <w:tc>
        <w:tcPr>
          <w:tcW w:w="3120" w:type="dxa"/>
        </w:tcPr>
        <w:p w14:paraId="33E4F54E" w14:textId="198155BD" w:rsidR="40E5DB5E" w:rsidRDefault="40E5DB5E" w:rsidP="00D4488C">
          <w:pPr>
            <w:pStyle w:val="Header"/>
            <w:ind w:left="-825"/>
          </w:pPr>
        </w:p>
      </w:tc>
      <w:tc>
        <w:tcPr>
          <w:tcW w:w="3120" w:type="dxa"/>
        </w:tcPr>
        <w:p w14:paraId="12B81178" w14:textId="752ECF75" w:rsidR="40E5DB5E" w:rsidRDefault="40E5DB5E" w:rsidP="40E5DB5E">
          <w:pPr>
            <w:pStyle w:val="Header"/>
            <w:jc w:val="center"/>
          </w:pPr>
        </w:p>
      </w:tc>
      <w:tc>
        <w:tcPr>
          <w:tcW w:w="3120" w:type="dxa"/>
        </w:tcPr>
        <w:p w14:paraId="312D25D8" w14:textId="25EF5D7A" w:rsidR="40E5DB5E" w:rsidRDefault="40E5DB5E" w:rsidP="40E5DB5E">
          <w:pPr>
            <w:pStyle w:val="Header"/>
            <w:ind w:right="-115"/>
            <w:jc w:val="right"/>
          </w:pPr>
        </w:p>
      </w:tc>
    </w:tr>
  </w:tbl>
  <w:p w14:paraId="23CC9239" w14:textId="135F8422" w:rsidR="40E5DB5E" w:rsidRDefault="40E5DB5E" w:rsidP="00F84DCE">
    <w:pPr>
      <w:pStyle w:val="Footer"/>
      <w:ind w:left="-72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F155D6" w14:textId="77777777" w:rsidR="00F84DCE" w:rsidRDefault="00F84DCE" w:rsidP="00F84DCE">
    <w:pPr>
      <w:pStyle w:val="Footer"/>
      <w:ind w:left="-720"/>
    </w:pPr>
    <w:r>
      <w:t>HSNPCC (10/25)</w:t>
    </w:r>
  </w:p>
  <w:p w14:paraId="5F425165" w14:textId="77777777" w:rsidR="00F84DCE" w:rsidRDefault="00F84D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93007C" w14:textId="77777777" w:rsidR="002810D0" w:rsidRDefault="002810D0">
      <w:pPr>
        <w:spacing w:after="0" w:line="240" w:lineRule="auto"/>
      </w:pPr>
      <w:r>
        <w:separator/>
      </w:r>
    </w:p>
  </w:footnote>
  <w:footnote w:type="continuationSeparator" w:id="0">
    <w:p w14:paraId="11E885AC" w14:textId="77777777" w:rsidR="002810D0" w:rsidRDefault="002810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7F31A"/>
    <w:multiLevelType w:val="hybridMultilevel"/>
    <w:tmpl w:val="52B43B38"/>
    <w:lvl w:ilvl="0" w:tplc="2F7035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6855F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368D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1404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FAE5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DBAAD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40B06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6466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4C4E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C58457"/>
    <w:multiLevelType w:val="hybridMultilevel"/>
    <w:tmpl w:val="E1367AE4"/>
    <w:lvl w:ilvl="0" w:tplc="F54C19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63E434C">
      <w:start w:val="1"/>
      <w:numFmt w:val="bullet"/>
      <w:lvlText w:val="o"/>
      <w:lvlJc w:val="left"/>
      <w:pPr>
        <w:ind w:left="1440" w:hanging="360"/>
      </w:pPr>
      <w:rPr>
        <w:rFonts w:ascii="Symbol" w:hAnsi="Symbol" w:hint="default"/>
      </w:rPr>
    </w:lvl>
    <w:lvl w:ilvl="2" w:tplc="3CE207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EE0E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BD690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B4F0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4BCB9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4CFB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DE62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47EBF3"/>
    <w:multiLevelType w:val="hybridMultilevel"/>
    <w:tmpl w:val="48728B40"/>
    <w:lvl w:ilvl="0" w:tplc="876014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53430E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B7AA8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E0CF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364A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13266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722F8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E292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094E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9164A2"/>
    <w:multiLevelType w:val="hybridMultilevel"/>
    <w:tmpl w:val="6D6EAC94"/>
    <w:lvl w:ilvl="0" w:tplc="52D89A3C">
      <w:start w:val="1"/>
      <w:numFmt w:val="bullet"/>
      <w:lvlText w:val="o"/>
      <w:lvlJc w:val="left"/>
      <w:pPr>
        <w:ind w:left="720" w:hanging="360"/>
      </w:pPr>
      <w:rPr>
        <w:rFonts w:ascii="&quot;Courier New&quot;" w:hAnsi="&quot;Courier New&quot;" w:hint="default"/>
      </w:rPr>
    </w:lvl>
    <w:lvl w:ilvl="1" w:tplc="9C9ED3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32C70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0C47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8AECF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8663C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D84FF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CE56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F4C0B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567C06"/>
    <w:multiLevelType w:val="hybridMultilevel"/>
    <w:tmpl w:val="EEA02CDC"/>
    <w:lvl w:ilvl="0" w:tplc="387A16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816DA2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B98DA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6C0E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F8F4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548A49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1823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6C3E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C23B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076C15"/>
    <w:multiLevelType w:val="hybridMultilevel"/>
    <w:tmpl w:val="0016C766"/>
    <w:lvl w:ilvl="0" w:tplc="3B72F4C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E5633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A8C1EA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90CF6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DA7BC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BC43B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FEAE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9458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9881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EF1EC7"/>
    <w:multiLevelType w:val="hybridMultilevel"/>
    <w:tmpl w:val="1FCC206E"/>
    <w:lvl w:ilvl="0" w:tplc="A002D71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7E0E93E">
      <w:start w:val="1"/>
      <w:numFmt w:val="bullet"/>
      <w:lvlText w:val="o"/>
      <w:lvlJc w:val="left"/>
      <w:pPr>
        <w:ind w:left="1440" w:hanging="360"/>
      </w:pPr>
      <w:rPr>
        <w:rFonts w:ascii="Symbol" w:hAnsi="Symbol" w:hint="default"/>
      </w:rPr>
    </w:lvl>
    <w:lvl w:ilvl="2" w:tplc="97A056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5053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A2097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932B8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A6A2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67826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B945A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F86980"/>
    <w:multiLevelType w:val="hybridMultilevel"/>
    <w:tmpl w:val="2EFCE8BC"/>
    <w:lvl w:ilvl="0" w:tplc="2FA09AE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721040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1ECC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6D82B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A049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A0AED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CCB7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3CDF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68083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4A85889"/>
    <w:multiLevelType w:val="hybridMultilevel"/>
    <w:tmpl w:val="6616CA94"/>
    <w:lvl w:ilvl="0" w:tplc="243C8F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C0030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4A8F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64A5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78EB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E003B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6A70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95673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FB8BB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3722786">
    <w:abstractNumId w:val="6"/>
  </w:num>
  <w:num w:numId="2" w16cid:durableId="1528788142">
    <w:abstractNumId w:val="3"/>
  </w:num>
  <w:num w:numId="3" w16cid:durableId="1061245767">
    <w:abstractNumId w:val="5"/>
  </w:num>
  <w:num w:numId="4" w16cid:durableId="1625427301">
    <w:abstractNumId w:val="0"/>
  </w:num>
  <w:num w:numId="5" w16cid:durableId="1201019001">
    <w:abstractNumId w:val="4"/>
  </w:num>
  <w:num w:numId="6" w16cid:durableId="928538661">
    <w:abstractNumId w:val="8"/>
  </w:num>
  <w:num w:numId="7" w16cid:durableId="120802929">
    <w:abstractNumId w:val="1"/>
  </w:num>
  <w:num w:numId="8" w16cid:durableId="278297827">
    <w:abstractNumId w:val="7"/>
  </w:num>
  <w:num w:numId="9" w16cid:durableId="9874420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2F9F5498"/>
    <w:rsid w:val="00030C77"/>
    <w:rsid w:val="0003426D"/>
    <w:rsid w:val="00041118"/>
    <w:rsid w:val="00073AA1"/>
    <w:rsid w:val="001373E6"/>
    <w:rsid w:val="00155028"/>
    <w:rsid w:val="0021277B"/>
    <w:rsid w:val="002146F3"/>
    <w:rsid w:val="00216F24"/>
    <w:rsid w:val="002549E3"/>
    <w:rsid w:val="002810D0"/>
    <w:rsid w:val="00285853"/>
    <w:rsid w:val="002F2120"/>
    <w:rsid w:val="00326110"/>
    <w:rsid w:val="003B4E2D"/>
    <w:rsid w:val="003F3B81"/>
    <w:rsid w:val="004039C5"/>
    <w:rsid w:val="00427600"/>
    <w:rsid w:val="00477A11"/>
    <w:rsid w:val="00494F78"/>
    <w:rsid w:val="004A002D"/>
    <w:rsid w:val="004F15B7"/>
    <w:rsid w:val="005731FC"/>
    <w:rsid w:val="005E7531"/>
    <w:rsid w:val="005F3118"/>
    <w:rsid w:val="00632306"/>
    <w:rsid w:val="0071065C"/>
    <w:rsid w:val="007232B4"/>
    <w:rsid w:val="007873F5"/>
    <w:rsid w:val="00823FCE"/>
    <w:rsid w:val="008621C7"/>
    <w:rsid w:val="00863CED"/>
    <w:rsid w:val="008D2302"/>
    <w:rsid w:val="00955BB4"/>
    <w:rsid w:val="009A1053"/>
    <w:rsid w:val="009C0394"/>
    <w:rsid w:val="00A940D7"/>
    <w:rsid w:val="00A95DCC"/>
    <w:rsid w:val="00AD76CE"/>
    <w:rsid w:val="00B10ED7"/>
    <w:rsid w:val="00B41AFE"/>
    <w:rsid w:val="00B67F4B"/>
    <w:rsid w:val="00BC14FE"/>
    <w:rsid w:val="00C444D3"/>
    <w:rsid w:val="00C80E06"/>
    <w:rsid w:val="00CF1DE6"/>
    <w:rsid w:val="00D4488C"/>
    <w:rsid w:val="00D85BF6"/>
    <w:rsid w:val="00DD20B6"/>
    <w:rsid w:val="00F84DCE"/>
    <w:rsid w:val="00F92E3C"/>
    <w:rsid w:val="00FC1891"/>
    <w:rsid w:val="03047267"/>
    <w:rsid w:val="042C3F1C"/>
    <w:rsid w:val="052A110C"/>
    <w:rsid w:val="069A89F6"/>
    <w:rsid w:val="070D53DE"/>
    <w:rsid w:val="080A2FB0"/>
    <w:rsid w:val="08E0ABE3"/>
    <w:rsid w:val="09302B1D"/>
    <w:rsid w:val="09310A91"/>
    <w:rsid w:val="0B0B9D30"/>
    <w:rsid w:val="0B1009BE"/>
    <w:rsid w:val="0C2ACA77"/>
    <w:rsid w:val="0CA5D140"/>
    <w:rsid w:val="0CC38296"/>
    <w:rsid w:val="0D7D18FD"/>
    <w:rsid w:val="0DCD0F94"/>
    <w:rsid w:val="0EC69209"/>
    <w:rsid w:val="0EF7A908"/>
    <w:rsid w:val="0FB2E0D5"/>
    <w:rsid w:val="0FDBEAEB"/>
    <w:rsid w:val="105A9135"/>
    <w:rsid w:val="10D6E441"/>
    <w:rsid w:val="1121B6F8"/>
    <w:rsid w:val="11751BE1"/>
    <w:rsid w:val="11B24FCD"/>
    <w:rsid w:val="12B342FE"/>
    <w:rsid w:val="137D4E8F"/>
    <w:rsid w:val="14745150"/>
    <w:rsid w:val="16032D14"/>
    <w:rsid w:val="162EDD38"/>
    <w:rsid w:val="170F1189"/>
    <w:rsid w:val="185DBFE8"/>
    <w:rsid w:val="18817A6E"/>
    <w:rsid w:val="1A2E5687"/>
    <w:rsid w:val="1C1FD31E"/>
    <w:rsid w:val="1C294FF2"/>
    <w:rsid w:val="1C6E3F6C"/>
    <w:rsid w:val="1D8959B7"/>
    <w:rsid w:val="1DA48F87"/>
    <w:rsid w:val="1F4AF6BD"/>
    <w:rsid w:val="1F6F8382"/>
    <w:rsid w:val="20AF15CE"/>
    <w:rsid w:val="2188379C"/>
    <w:rsid w:val="225EC296"/>
    <w:rsid w:val="22B88FD2"/>
    <w:rsid w:val="2302DEF1"/>
    <w:rsid w:val="235969F2"/>
    <w:rsid w:val="23BF86DA"/>
    <w:rsid w:val="2419F6C5"/>
    <w:rsid w:val="24B7A127"/>
    <w:rsid w:val="254983B2"/>
    <w:rsid w:val="254E92D6"/>
    <w:rsid w:val="2700A24E"/>
    <w:rsid w:val="270346B1"/>
    <w:rsid w:val="279AD4FB"/>
    <w:rsid w:val="279EB3D7"/>
    <w:rsid w:val="28A73802"/>
    <w:rsid w:val="291E6234"/>
    <w:rsid w:val="29500DB9"/>
    <w:rsid w:val="2A4F7166"/>
    <w:rsid w:val="2AA1120A"/>
    <w:rsid w:val="2B7A0B86"/>
    <w:rsid w:val="2BD16E4E"/>
    <w:rsid w:val="2D6F17CD"/>
    <w:rsid w:val="2E2A6B44"/>
    <w:rsid w:val="2F9F5498"/>
    <w:rsid w:val="2FC5AB35"/>
    <w:rsid w:val="2FD752E5"/>
    <w:rsid w:val="307C4102"/>
    <w:rsid w:val="313E36A5"/>
    <w:rsid w:val="325628C5"/>
    <w:rsid w:val="3261AB12"/>
    <w:rsid w:val="32F13EF9"/>
    <w:rsid w:val="33292859"/>
    <w:rsid w:val="336FA3B0"/>
    <w:rsid w:val="3386FE88"/>
    <w:rsid w:val="340FB173"/>
    <w:rsid w:val="3434908A"/>
    <w:rsid w:val="36048687"/>
    <w:rsid w:val="3617B83B"/>
    <w:rsid w:val="36C27340"/>
    <w:rsid w:val="384474E9"/>
    <w:rsid w:val="3A20AD3E"/>
    <w:rsid w:val="3A4380C8"/>
    <w:rsid w:val="3A834618"/>
    <w:rsid w:val="3A8C9B96"/>
    <w:rsid w:val="3C8B8E71"/>
    <w:rsid w:val="3D2DB235"/>
    <w:rsid w:val="3D4BF641"/>
    <w:rsid w:val="3DF7AB02"/>
    <w:rsid w:val="3E4EBF01"/>
    <w:rsid w:val="3EB614BF"/>
    <w:rsid w:val="3F978015"/>
    <w:rsid w:val="3F9F22FF"/>
    <w:rsid w:val="40062C6D"/>
    <w:rsid w:val="4021EB9A"/>
    <w:rsid w:val="40E5DB5E"/>
    <w:rsid w:val="4246DC1A"/>
    <w:rsid w:val="4271325C"/>
    <w:rsid w:val="4423039A"/>
    <w:rsid w:val="44FEEAAA"/>
    <w:rsid w:val="450C0287"/>
    <w:rsid w:val="46BD136D"/>
    <w:rsid w:val="4A4732B6"/>
    <w:rsid w:val="4E810ABE"/>
    <w:rsid w:val="4F742D3B"/>
    <w:rsid w:val="4F94632B"/>
    <w:rsid w:val="50815210"/>
    <w:rsid w:val="50D2E6C8"/>
    <w:rsid w:val="53215795"/>
    <w:rsid w:val="54E28767"/>
    <w:rsid w:val="567D927D"/>
    <w:rsid w:val="56991843"/>
    <w:rsid w:val="56D57361"/>
    <w:rsid w:val="56D7657A"/>
    <w:rsid w:val="5787655C"/>
    <w:rsid w:val="57946F53"/>
    <w:rsid w:val="5798EFFF"/>
    <w:rsid w:val="57EFF132"/>
    <w:rsid w:val="58094CC9"/>
    <w:rsid w:val="582DF247"/>
    <w:rsid w:val="5A0A095A"/>
    <w:rsid w:val="5AF82B34"/>
    <w:rsid w:val="5C0F237D"/>
    <w:rsid w:val="5C35B5F2"/>
    <w:rsid w:val="5CF17239"/>
    <w:rsid w:val="5E047207"/>
    <w:rsid w:val="5E1876E5"/>
    <w:rsid w:val="60166080"/>
    <w:rsid w:val="608BD93B"/>
    <w:rsid w:val="60B3D342"/>
    <w:rsid w:val="61148042"/>
    <w:rsid w:val="611F1BAA"/>
    <w:rsid w:val="62D571DD"/>
    <w:rsid w:val="6334508D"/>
    <w:rsid w:val="63CD8B99"/>
    <w:rsid w:val="64FA50E6"/>
    <w:rsid w:val="65A8AE94"/>
    <w:rsid w:val="6A47DC6D"/>
    <w:rsid w:val="6A85494A"/>
    <w:rsid w:val="6B541A4F"/>
    <w:rsid w:val="6DAE338B"/>
    <w:rsid w:val="6DAF5FBB"/>
    <w:rsid w:val="6E2137DE"/>
    <w:rsid w:val="6F414E17"/>
    <w:rsid w:val="6FDC6EBD"/>
    <w:rsid w:val="703EE223"/>
    <w:rsid w:val="7091343D"/>
    <w:rsid w:val="70C2B140"/>
    <w:rsid w:val="71A1CB95"/>
    <w:rsid w:val="73DD3E65"/>
    <w:rsid w:val="7410D7B3"/>
    <w:rsid w:val="74B1F7F3"/>
    <w:rsid w:val="761C51EC"/>
    <w:rsid w:val="7687F7A5"/>
    <w:rsid w:val="76B20D9C"/>
    <w:rsid w:val="7701F3D8"/>
    <w:rsid w:val="786E7FE7"/>
    <w:rsid w:val="79625C9B"/>
    <w:rsid w:val="7A5BE200"/>
    <w:rsid w:val="7ADD7F5C"/>
    <w:rsid w:val="7BB9E93C"/>
    <w:rsid w:val="7BC9BD11"/>
    <w:rsid w:val="7C1CFAB2"/>
    <w:rsid w:val="7C938005"/>
    <w:rsid w:val="7D38D7A3"/>
    <w:rsid w:val="7DDB2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F9F5498"/>
  <w15:chartTrackingRefBased/>
  <w15:docId w15:val="{B6EC1902-6A86-445E-B1D1-3308343648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name w:val="List Paragraph"/>
    <w:basedOn w:val="Normal"/>
    <w:uiPriority w:val="34"/>
    <w:qFormat/>
    <w:rsid w:val="7C1CFAB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71A1CB95"/>
    <w:rPr>
      <w:color w:val="467886"/>
      <w:u w:val="single"/>
    </w:rPr>
  </w:style>
  <w:style w:type="paragraph" w:styleId="Header">
    <w:name w:val="header"/>
    <w:basedOn w:val="Normal"/>
    <w:uiPriority w:val="99"/>
    <w:unhideWhenUsed/>
    <w:rsid w:val="40E5DB5E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uiPriority w:val="99"/>
    <w:unhideWhenUsed/>
    <w:rsid w:val="40E5DB5E"/>
    <w:pPr>
      <w:tabs>
        <w:tab w:val="center" w:pos="4680"/>
        <w:tab w:val="right" w:pos="9360"/>
      </w:tabs>
      <w:spacing w:after="0" w:line="240" w:lineRule="auto"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rsid w:val="002146F3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5E7531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A95DCC"/>
    <w:rPr>
      <w:color w:val="96607D" w:themeColor="followed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95D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95DC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mhdl.pharmacy.services.conduent.com/MHDL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mhdl.pharmacy.services.conduent.com/MHDL/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s://mhdl.pharmacy.services.conduent.com/MHDL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29401901D17547BE89EBC023176444" ma:contentTypeVersion="13" ma:contentTypeDescription="Create a new document." ma:contentTypeScope="" ma:versionID="52bebfecee1ce66c63a5c91facd6ea79">
  <xsd:schema xmlns:xsd="http://www.w3.org/2001/XMLSchema" xmlns:xs="http://www.w3.org/2001/XMLSchema" xmlns:p="http://schemas.microsoft.com/office/2006/metadata/properties" xmlns:ns2="9e22d557-8aef-492c-b90e-d88fa10ee1f7" xmlns:ns3="b36b5940-75bc-45ad-ac59-94d28355690a" targetNamespace="http://schemas.microsoft.com/office/2006/metadata/properties" ma:root="true" ma:fieldsID="c5214ff875b8a63b61db20ef1a5eebdd" ns2:_="" ns3:_="">
    <xsd:import namespace="9e22d557-8aef-492c-b90e-d88fa10ee1f7"/>
    <xsd:import namespace="b36b5940-75bc-45ad-ac59-94d28355690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22d557-8aef-492c-b90e-d88fa10ee1f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f123c60-6d59-4beb-a46f-4c7d903a1f2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6b5940-75bc-45ad-ac59-94d28355690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71644fca-87b8-409a-b840-a51d4231f728}" ma:internalName="TaxCatchAll" ma:showField="CatchAllData" ma:web="b36b5940-75bc-45ad-ac59-94d28355690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36b5940-75bc-45ad-ac59-94d28355690a" xsi:nil="true"/>
    <lcf76f155ced4ddcb4097134ff3c332f xmlns="9e22d557-8aef-492c-b90e-d88fa10ee1f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1C8E16C-9968-425C-926D-278E37693F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e22d557-8aef-492c-b90e-d88fa10ee1f7"/>
    <ds:schemaRef ds:uri="b36b5940-75bc-45ad-ac59-94d2835569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3595ED2-C237-4A08-AB00-333814260F1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7A47AAC-B780-431D-AAF6-7DF52992CD64}">
  <ds:schemaRefs>
    <ds:schemaRef ds:uri="http://schemas.microsoft.com/office/2006/metadata/properties"/>
    <ds:schemaRef ds:uri="http://schemas.microsoft.com/office/infopath/2007/PartnerControls"/>
    <ds:schemaRef ds:uri="b36b5940-75bc-45ad-ac59-94d28355690a"/>
    <ds:schemaRef ds:uri="9e22d557-8aef-492c-b90e-d88fa10ee1f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435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Meyer, Katelyn B (EHS)</dc:creator>
  <cp:keywords/>
  <dc:description/>
  <cp:lastModifiedBy>Lam, Arthur</cp:lastModifiedBy>
  <cp:revision>10</cp:revision>
  <dcterms:created xsi:type="dcterms:W3CDTF">2025-09-23T21:34:00Z</dcterms:created>
  <dcterms:modified xsi:type="dcterms:W3CDTF">2025-09-24T17:05:00Z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0x0101007F29401901D17547BE89EBC023176444</vt:lpwstr>
  </property>
  <property fmtid="{D5CDD505-2E9C-101B-9397-08002B2CF9AE}" pid="3" name="MediaServiceImageTags">
    <vt:lpwstr/>
  </property>
</Properties>
</file>